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7BA" w:rsidRDefault="009807BA" w:rsidP="009807BA">
      <w:pPr>
        <w:jc w:val="center"/>
        <w:rPr>
          <w:rFonts w:ascii="Times New Roman" w:hAnsi="Times New Roman" w:cs="Times New Roman"/>
          <w:sz w:val="24"/>
          <w:szCs w:val="24"/>
        </w:rPr>
      </w:pPr>
      <w:bookmarkStart w:id="0" w:name="_GoBack"/>
      <w:bookmarkEnd w:id="0"/>
      <w:r w:rsidRPr="009807BA">
        <w:rPr>
          <w:rFonts w:ascii="Times New Roman" w:hAnsi="Times New Roman" w:cs="Times New Roman"/>
          <w:sz w:val="24"/>
          <w:szCs w:val="24"/>
        </w:rPr>
        <w:t xml:space="preserve">Etude des manifestations du vieillissement </w:t>
      </w:r>
      <w:r>
        <w:rPr>
          <w:rFonts w:ascii="Times New Roman" w:hAnsi="Times New Roman" w:cs="Times New Roman"/>
          <w:sz w:val="24"/>
          <w:szCs w:val="24"/>
        </w:rPr>
        <w:t xml:space="preserve">des personnes porteuses de T21 </w:t>
      </w:r>
      <w:r w:rsidRPr="009807BA">
        <w:rPr>
          <w:rFonts w:ascii="Times New Roman" w:hAnsi="Times New Roman" w:cs="Times New Roman"/>
          <w:sz w:val="24"/>
          <w:szCs w:val="24"/>
        </w:rPr>
        <w:t>et retentissement sur l’accompagnement des équipes.</w:t>
      </w:r>
    </w:p>
    <w:p w:rsidR="00AE418D" w:rsidRDefault="00AE418D">
      <w:pPr>
        <w:rPr>
          <w:rFonts w:ascii="Times New Roman" w:hAnsi="Times New Roman" w:cs="Times New Roman"/>
          <w:sz w:val="24"/>
          <w:szCs w:val="24"/>
        </w:rPr>
      </w:pPr>
    </w:p>
    <w:p w:rsidR="009807BA" w:rsidRDefault="009807BA">
      <w:pPr>
        <w:rPr>
          <w:rFonts w:ascii="Times New Roman" w:hAnsi="Times New Roman" w:cs="Times New Roman"/>
          <w:sz w:val="24"/>
          <w:szCs w:val="24"/>
        </w:rPr>
      </w:pPr>
      <w:r>
        <w:rPr>
          <w:rFonts w:ascii="Times New Roman" w:hAnsi="Times New Roman" w:cs="Times New Roman"/>
          <w:sz w:val="24"/>
          <w:szCs w:val="24"/>
        </w:rPr>
        <w:t>Céline AUBRY</w:t>
      </w:r>
      <w:r w:rsidR="0015721F" w:rsidRPr="0015721F">
        <w:rPr>
          <w:rFonts w:ascii="Times New Roman" w:hAnsi="Times New Roman" w:cs="Times New Roman"/>
          <w:sz w:val="24"/>
          <w:szCs w:val="24"/>
          <w:vertAlign w:val="superscript"/>
        </w:rPr>
        <w:t>(1)</w:t>
      </w:r>
      <w:r>
        <w:rPr>
          <w:rFonts w:ascii="Times New Roman" w:hAnsi="Times New Roman" w:cs="Times New Roman"/>
          <w:sz w:val="24"/>
          <w:szCs w:val="24"/>
        </w:rPr>
        <w:t>, Aude GILLOT</w:t>
      </w:r>
      <w:r w:rsidR="0015721F" w:rsidRPr="0015721F">
        <w:rPr>
          <w:rFonts w:ascii="Times New Roman" w:hAnsi="Times New Roman" w:cs="Times New Roman"/>
          <w:sz w:val="24"/>
          <w:szCs w:val="24"/>
          <w:vertAlign w:val="superscript"/>
        </w:rPr>
        <w:t>(1)</w:t>
      </w:r>
      <w:r>
        <w:rPr>
          <w:rFonts w:ascii="Times New Roman" w:hAnsi="Times New Roman" w:cs="Times New Roman"/>
          <w:sz w:val="24"/>
          <w:szCs w:val="24"/>
        </w:rPr>
        <w:t>, Aurélie TAUDON</w:t>
      </w:r>
      <w:r w:rsidR="0015721F" w:rsidRPr="0015721F">
        <w:rPr>
          <w:rFonts w:ascii="Times New Roman" w:hAnsi="Times New Roman" w:cs="Times New Roman"/>
          <w:sz w:val="24"/>
          <w:szCs w:val="24"/>
          <w:vertAlign w:val="superscript"/>
        </w:rPr>
        <w:t>(1)</w:t>
      </w:r>
      <w:r>
        <w:rPr>
          <w:rFonts w:ascii="Times New Roman" w:hAnsi="Times New Roman" w:cs="Times New Roman"/>
          <w:sz w:val="24"/>
          <w:szCs w:val="24"/>
        </w:rPr>
        <w:t>, Béatrice MANGIN</w:t>
      </w:r>
      <w:r w:rsidR="0015721F" w:rsidRPr="0015721F">
        <w:rPr>
          <w:rFonts w:ascii="Times New Roman" w:hAnsi="Times New Roman" w:cs="Times New Roman"/>
          <w:sz w:val="24"/>
          <w:szCs w:val="24"/>
          <w:vertAlign w:val="superscript"/>
        </w:rPr>
        <w:t>(1)</w:t>
      </w:r>
      <w:r>
        <w:rPr>
          <w:rFonts w:ascii="Times New Roman" w:hAnsi="Times New Roman" w:cs="Times New Roman"/>
          <w:sz w:val="24"/>
          <w:szCs w:val="24"/>
        </w:rPr>
        <w:t>, Thierry CHARTRIN</w:t>
      </w:r>
      <w:r w:rsidR="0015721F" w:rsidRPr="0015721F">
        <w:rPr>
          <w:rFonts w:ascii="Times New Roman" w:hAnsi="Times New Roman" w:cs="Times New Roman"/>
          <w:sz w:val="24"/>
          <w:szCs w:val="24"/>
          <w:vertAlign w:val="superscript"/>
        </w:rPr>
        <w:t>(</w:t>
      </w:r>
      <w:r w:rsidR="0015721F">
        <w:rPr>
          <w:rFonts w:ascii="Times New Roman" w:hAnsi="Times New Roman" w:cs="Times New Roman"/>
          <w:sz w:val="24"/>
          <w:szCs w:val="24"/>
          <w:vertAlign w:val="superscript"/>
        </w:rPr>
        <w:t>2</w:t>
      </w:r>
      <w:r w:rsidR="0015721F" w:rsidRPr="0015721F">
        <w:rPr>
          <w:rFonts w:ascii="Times New Roman" w:hAnsi="Times New Roman" w:cs="Times New Roman"/>
          <w:sz w:val="24"/>
          <w:szCs w:val="24"/>
          <w:vertAlign w:val="superscript"/>
        </w:rPr>
        <w:t>)</w:t>
      </w:r>
    </w:p>
    <w:p w:rsidR="0015721F" w:rsidRPr="0015721F" w:rsidRDefault="009807BA" w:rsidP="0015721F">
      <w:pPr>
        <w:pStyle w:val="Paragraphedeliste"/>
        <w:numPr>
          <w:ilvl w:val="0"/>
          <w:numId w:val="7"/>
        </w:numPr>
        <w:rPr>
          <w:rFonts w:ascii="Times New Roman" w:hAnsi="Times New Roman" w:cs="Times New Roman"/>
          <w:sz w:val="24"/>
          <w:szCs w:val="24"/>
        </w:rPr>
      </w:pPr>
      <w:r w:rsidRPr="0015721F">
        <w:rPr>
          <w:rFonts w:ascii="Times New Roman" w:hAnsi="Times New Roman" w:cs="Times New Roman"/>
          <w:sz w:val="24"/>
          <w:szCs w:val="24"/>
        </w:rPr>
        <w:t>Résidence les Acacias</w:t>
      </w:r>
      <w:r w:rsidR="0015721F">
        <w:rPr>
          <w:rFonts w:ascii="Times New Roman" w:hAnsi="Times New Roman" w:cs="Times New Roman"/>
          <w:sz w:val="24"/>
          <w:szCs w:val="24"/>
        </w:rPr>
        <w:t>, c</w:t>
      </w:r>
      <w:r w:rsidR="0015721F" w:rsidRPr="0015721F">
        <w:rPr>
          <w:rFonts w:ascii="Times New Roman" w:hAnsi="Times New Roman" w:cs="Times New Roman"/>
          <w:sz w:val="24"/>
          <w:szCs w:val="24"/>
        </w:rPr>
        <w:t xml:space="preserve">ontact : </w:t>
      </w:r>
      <w:hyperlink r:id="rId8" w:history="1">
        <w:r w:rsidR="0015721F" w:rsidRPr="00237860">
          <w:rPr>
            <w:rStyle w:val="Lienhypertexte"/>
            <w:rFonts w:ascii="Times New Roman" w:hAnsi="Times New Roman" w:cs="Times New Roman"/>
            <w:sz w:val="24"/>
            <w:szCs w:val="24"/>
          </w:rPr>
          <w:t>direction@residencedesacacias.fr</w:t>
        </w:r>
      </w:hyperlink>
    </w:p>
    <w:p w:rsidR="009807BA" w:rsidRPr="0015721F" w:rsidRDefault="009807BA" w:rsidP="0015721F">
      <w:pPr>
        <w:pStyle w:val="Paragraphedeliste"/>
        <w:numPr>
          <w:ilvl w:val="0"/>
          <w:numId w:val="7"/>
        </w:numPr>
        <w:rPr>
          <w:rFonts w:ascii="Times New Roman" w:hAnsi="Times New Roman" w:cs="Times New Roman"/>
          <w:sz w:val="24"/>
          <w:szCs w:val="24"/>
        </w:rPr>
      </w:pPr>
      <w:r w:rsidRPr="0015721F">
        <w:rPr>
          <w:rFonts w:ascii="Times New Roman" w:hAnsi="Times New Roman" w:cs="Times New Roman"/>
          <w:sz w:val="24"/>
          <w:szCs w:val="24"/>
        </w:rPr>
        <w:t>ARIFTS site Angevin</w:t>
      </w:r>
      <w:r w:rsidR="0015721F">
        <w:rPr>
          <w:rFonts w:ascii="Times New Roman" w:hAnsi="Times New Roman" w:cs="Times New Roman"/>
          <w:sz w:val="24"/>
          <w:szCs w:val="24"/>
        </w:rPr>
        <w:t>, contact : t.chartrin@arifts.fr</w:t>
      </w:r>
    </w:p>
    <w:p w:rsidR="00AE418D" w:rsidRDefault="00AE418D">
      <w:pPr>
        <w:rPr>
          <w:rFonts w:ascii="Times New Roman" w:hAnsi="Times New Roman" w:cs="Times New Roman"/>
          <w:sz w:val="24"/>
          <w:szCs w:val="24"/>
        </w:rPr>
      </w:pPr>
    </w:p>
    <w:p w:rsidR="007C48F3" w:rsidRDefault="009807BA" w:rsidP="007C48F3">
      <w:pPr>
        <w:jc w:val="both"/>
        <w:rPr>
          <w:rFonts w:ascii="Times New Roman" w:hAnsi="Times New Roman" w:cs="Times New Roman"/>
          <w:sz w:val="24"/>
          <w:szCs w:val="24"/>
        </w:rPr>
      </w:pPr>
      <w:r>
        <w:rPr>
          <w:rFonts w:ascii="Times New Roman" w:hAnsi="Times New Roman" w:cs="Times New Roman"/>
          <w:sz w:val="24"/>
          <w:szCs w:val="24"/>
        </w:rPr>
        <w:t>R</w:t>
      </w:r>
      <w:r w:rsidR="00AE418D">
        <w:rPr>
          <w:rFonts w:ascii="Times New Roman" w:hAnsi="Times New Roman" w:cs="Times New Roman"/>
          <w:sz w:val="24"/>
          <w:szCs w:val="24"/>
        </w:rPr>
        <w:t>é</w:t>
      </w:r>
      <w:r>
        <w:rPr>
          <w:rFonts w:ascii="Times New Roman" w:hAnsi="Times New Roman" w:cs="Times New Roman"/>
          <w:sz w:val="24"/>
          <w:szCs w:val="24"/>
        </w:rPr>
        <w:t>sumé</w:t>
      </w:r>
      <w:r w:rsidR="00AE418D">
        <w:rPr>
          <w:rFonts w:ascii="Times New Roman" w:hAnsi="Times New Roman" w:cs="Times New Roman"/>
          <w:sz w:val="24"/>
          <w:szCs w:val="24"/>
        </w:rPr>
        <w:t> :</w:t>
      </w:r>
      <w:r w:rsidR="0015721F">
        <w:rPr>
          <w:rFonts w:ascii="Times New Roman" w:hAnsi="Times New Roman" w:cs="Times New Roman"/>
          <w:sz w:val="24"/>
          <w:szCs w:val="24"/>
        </w:rPr>
        <w:t xml:space="preserve"> </w:t>
      </w:r>
    </w:p>
    <w:p w:rsidR="009807BA" w:rsidRDefault="00FC5B65" w:rsidP="007C48F3">
      <w:pPr>
        <w:jc w:val="both"/>
        <w:rPr>
          <w:rFonts w:ascii="Times New Roman" w:hAnsi="Times New Roman" w:cs="Times New Roman"/>
          <w:sz w:val="24"/>
          <w:szCs w:val="24"/>
        </w:rPr>
      </w:pPr>
      <w:r>
        <w:rPr>
          <w:rFonts w:ascii="Times New Roman" w:hAnsi="Times New Roman" w:cs="Times New Roman"/>
          <w:sz w:val="24"/>
          <w:szCs w:val="24"/>
        </w:rPr>
        <w:t xml:space="preserve">Cette recherche issue </w:t>
      </w:r>
      <w:r w:rsidR="007C48F3">
        <w:rPr>
          <w:rFonts w:ascii="Times New Roman" w:hAnsi="Times New Roman" w:cs="Times New Roman"/>
          <w:sz w:val="24"/>
          <w:szCs w:val="24"/>
        </w:rPr>
        <w:t>des préoccupations</w:t>
      </w:r>
      <w:r>
        <w:rPr>
          <w:rFonts w:ascii="Times New Roman" w:hAnsi="Times New Roman" w:cs="Times New Roman"/>
          <w:sz w:val="24"/>
          <w:szCs w:val="24"/>
        </w:rPr>
        <w:t xml:space="preserve"> des professionnels de terrain a pour objectif de mieux connaitre le </w:t>
      </w:r>
      <w:r w:rsidR="007C48F3">
        <w:rPr>
          <w:rFonts w:ascii="Times New Roman" w:hAnsi="Times New Roman" w:cs="Times New Roman"/>
          <w:sz w:val="24"/>
          <w:szCs w:val="24"/>
        </w:rPr>
        <w:t>vieillissement</w:t>
      </w:r>
      <w:r>
        <w:rPr>
          <w:rFonts w:ascii="Times New Roman" w:hAnsi="Times New Roman" w:cs="Times New Roman"/>
          <w:sz w:val="24"/>
          <w:szCs w:val="24"/>
        </w:rPr>
        <w:t xml:space="preserve"> des personnes porteuses de trisomie 21 afin d’anticiper et d’adapter l’</w:t>
      </w:r>
      <w:r w:rsidR="007C48F3">
        <w:rPr>
          <w:rFonts w:ascii="Times New Roman" w:hAnsi="Times New Roman" w:cs="Times New Roman"/>
          <w:sz w:val="24"/>
          <w:szCs w:val="24"/>
        </w:rPr>
        <w:t>accompagnement. Une grille d’observation a été construite afin de recueillir des données sur l’évolution de 19 personnes porteuse de Trisomie 21 sur une année. A l’issue de la recherche, 1632 grilles ont été analyser et ont permis d’identifier 4 périodes chronologiques d’évolution du vieillissement avec chacune leurs signes caractéristiques. A l’issue de ce travail des préconisation d’ajustement et d’adaptation sont avancées.</w:t>
      </w:r>
    </w:p>
    <w:p w:rsidR="00AE418D" w:rsidRDefault="00AE418D">
      <w:pPr>
        <w:rPr>
          <w:rFonts w:ascii="Times New Roman" w:hAnsi="Times New Roman" w:cs="Times New Roman"/>
          <w:sz w:val="24"/>
          <w:szCs w:val="24"/>
        </w:rPr>
      </w:pPr>
      <w:r>
        <w:rPr>
          <w:rFonts w:ascii="Times New Roman" w:hAnsi="Times New Roman" w:cs="Times New Roman"/>
          <w:sz w:val="24"/>
          <w:szCs w:val="24"/>
        </w:rPr>
        <w:t>Abstract :</w:t>
      </w:r>
    </w:p>
    <w:p w:rsidR="007C48F3" w:rsidRPr="007C48F3" w:rsidRDefault="007C48F3" w:rsidP="004F24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000000"/>
          <w:sz w:val="24"/>
          <w:szCs w:val="24"/>
          <w:lang w:eastAsia="fr-FR"/>
        </w:rPr>
      </w:pPr>
      <w:r w:rsidRPr="007C48F3">
        <w:rPr>
          <w:rFonts w:ascii="inherit" w:eastAsia="Times New Roman" w:hAnsi="inherit" w:cs="Courier New"/>
          <w:color w:val="000000"/>
          <w:sz w:val="24"/>
          <w:szCs w:val="24"/>
          <w:lang w:val="en" w:eastAsia="fr-FR"/>
        </w:rPr>
        <w:t xml:space="preserve">This research comes from the concerns of professionals aims to better know the aging of people with </w:t>
      </w:r>
      <w:r w:rsidR="00C86710">
        <w:rPr>
          <w:rFonts w:ascii="inherit" w:eastAsia="Times New Roman" w:hAnsi="inherit" w:cs="Courier New"/>
          <w:color w:val="000000"/>
          <w:sz w:val="24"/>
          <w:szCs w:val="24"/>
          <w:lang w:val="en" w:eastAsia="fr-FR"/>
        </w:rPr>
        <w:t>Down Syndrome</w:t>
      </w:r>
      <w:r w:rsidRPr="007C48F3">
        <w:rPr>
          <w:rFonts w:ascii="inherit" w:eastAsia="Times New Roman" w:hAnsi="inherit" w:cs="Courier New"/>
          <w:color w:val="000000"/>
          <w:sz w:val="24"/>
          <w:szCs w:val="24"/>
          <w:lang w:val="en" w:eastAsia="fr-FR"/>
        </w:rPr>
        <w:t xml:space="preserve"> to anticipate and adapt support. An observation grid was constructed to collect data on the evolution of 19 people with Down Syndrome over a year. At the end of the research, 1632 grids were analyzed and identified 4 chronological periods of evolution of aging with each their characteristic signs. At the end of this work recommendations of adjustment and adaptation are advanced.</w:t>
      </w:r>
    </w:p>
    <w:p w:rsidR="00AE418D" w:rsidRDefault="00AE418D">
      <w:pPr>
        <w:rPr>
          <w:rFonts w:ascii="Times New Roman" w:hAnsi="Times New Roman" w:cs="Times New Roman"/>
          <w:sz w:val="24"/>
          <w:szCs w:val="24"/>
        </w:rPr>
      </w:pPr>
    </w:p>
    <w:p w:rsidR="009807BA" w:rsidRDefault="009807BA">
      <w:pPr>
        <w:rPr>
          <w:rFonts w:ascii="Times New Roman" w:hAnsi="Times New Roman" w:cs="Times New Roman"/>
          <w:sz w:val="24"/>
          <w:szCs w:val="24"/>
        </w:rPr>
      </w:pPr>
      <w:r>
        <w:rPr>
          <w:rFonts w:ascii="Times New Roman" w:hAnsi="Times New Roman" w:cs="Times New Roman"/>
          <w:sz w:val="24"/>
          <w:szCs w:val="24"/>
        </w:rPr>
        <w:t>Mots clés : Vieillissement, Trisomie 21, accompagnement, adapt</w:t>
      </w:r>
      <w:r w:rsidR="00F43B15">
        <w:rPr>
          <w:rFonts w:ascii="Times New Roman" w:hAnsi="Times New Roman" w:cs="Times New Roman"/>
          <w:sz w:val="24"/>
          <w:szCs w:val="24"/>
        </w:rPr>
        <w:t>at</w:t>
      </w:r>
      <w:r>
        <w:rPr>
          <w:rFonts w:ascii="Times New Roman" w:hAnsi="Times New Roman" w:cs="Times New Roman"/>
          <w:sz w:val="24"/>
          <w:szCs w:val="24"/>
        </w:rPr>
        <w:t>ion</w:t>
      </w:r>
    </w:p>
    <w:p w:rsidR="009807BA" w:rsidRDefault="009807BA">
      <w:pPr>
        <w:rPr>
          <w:rFonts w:ascii="Times New Roman" w:hAnsi="Times New Roman" w:cs="Times New Roman"/>
          <w:sz w:val="24"/>
          <w:szCs w:val="24"/>
        </w:rPr>
      </w:pPr>
      <w:r>
        <w:rPr>
          <w:rFonts w:ascii="Times New Roman" w:hAnsi="Times New Roman" w:cs="Times New Roman"/>
          <w:sz w:val="24"/>
          <w:szCs w:val="24"/>
        </w:rPr>
        <w:t>Keys words : aging, Down syndrom, accompaniment, adaptation</w:t>
      </w:r>
    </w:p>
    <w:p w:rsidR="009807BA" w:rsidRDefault="009807BA">
      <w:pPr>
        <w:rPr>
          <w:rFonts w:ascii="Times New Roman" w:hAnsi="Times New Roman" w:cs="Times New Roman"/>
          <w:sz w:val="24"/>
          <w:szCs w:val="24"/>
        </w:rPr>
      </w:pPr>
    </w:p>
    <w:p w:rsidR="000220C0" w:rsidRPr="00C857E4" w:rsidRDefault="000220C0" w:rsidP="00444EFE">
      <w:pPr>
        <w:jc w:val="both"/>
        <w:rPr>
          <w:rFonts w:ascii="Times New Roman" w:hAnsi="Times New Roman" w:cs="Times New Roman"/>
          <w:b/>
          <w:sz w:val="24"/>
          <w:szCs w:val="24"/>
        </w:rPr>
      </w:pPr>
      <w:r w:rsidRPr="00C857E4">
        <w:rPr>
          <w:rFonts w:ascii="Times New Roman" w:hAnsi="Times New Roman" w:cs="Times New Roman"/>
          <w:b/>
          <w:sz w:val="24"/>
          <w:szCs w:val="24"/>
        </w:rPr>
        <w:t>1/ Présentation</w:t>
      </w:r>
    </w:p>
    <w:p w:rsidR="00B37290" w:rsidRDefault="00B37290" w:rsidP="00444EFE">
      <w:pPr>
        <w:jc w:val="both"/>
        <w:rPr>
          <w:rFonts w:ascii="Times New Roman" w:hAnsi="Times New Roman" w:cs="Times New Roman"/>
          <w:sz w:val="24"/>
          <w:szCs w:val="24"/>
        </w:rPr>
      </w:pPr>
      <w:r>
        <w:rPr>
          <w:rFonts w:ascii="Times New Roman" w:hAnsi="Times New Roman" w:cs="Times New Roman"/>
          <w:sz w:val="24"/>
          <w:szCs w:val="24"/>
        </w:rPr>
        <w:t>Cette recherche est née des observations faites par les équipes éducatives et des difficultés que les résidents et professio</w:t>
      </w:r>
      <w:r w:rsidR="00760A7B">
        <w:rPr>
          <w:rFonts w:ascii="Times New Roman" w:hAnsi="Times New Roman" w:cs="Times New Roman"/>
          <w:sz w:val="24"/>
          <w:szCs w:val="24"/>
        </w:rPr>
        <w:t>nnels ont rencontrées dans leur</w:t>
      </w:r>
      <w:r>
        <w:rPr>
          <w:rFonts w:ascii="Times New Roman" w:hAnsi="Times New Roman" w:cs="Times New Roman"/>
          <w:sz w:val="24"/>
          <w:szCs w:val="24"/>
        </w:rPr>
        <w:t xml:space="preserve"> quotidien. </w:t>
      </w:r>
    </w:p>
    <w:p w:rsidR="00715982" w:rsidRDefault="00B37290" w:rsidP="00715982">
      <w:pPr>
        <w:jc w:val="both"/>
        <w:rPr>
          <w:rFonts w:ascii="Times New Roman" w:hAnsi="Times New Roman" w:cs="Times New Roman"/>
          <w:sz w:val="24"/>
          <w:szCs w:val="24"/>
        </w:rPr>
      </w:pPr>
      <w:r>
        <w:rPr>
          <w:rFonts w:ascii="Times New Roman" w:hAnsi="Times New Roman" w:cs="Times New Roman"/>
          <w:sz w:val="24"/>
          <w:szCs w:val="24"/>
        </w:rPr>
        <w:t xml:space="preserve">La résidence les Acacias est un Etablissement d’Hébergement pour Personnes Agées Dépendantes (EHPAD) créé en </w:t>
      </w:r>
      <w:r w:rsidR="00475D26" w:rsidRPr="00475D26">
        <w:rPr>
          <w:rFonts w:ascii="Times New Roman" w:hAnsi="Times New Roman" w:cs="Times New Roman"/>
          <w:sz w:val="24"/>
          <w:szCs w:val="24"/>
        </w:rPr>
        <w:t>1973</w:t>
      </w:r>
      <w:r>
        <w:rPr>
          <w:rFonts w:ascii="Times New Roman" w:hAnsi="Times New Roman" w:cs="Times New Roman"/>
          <w:sz w:val="24"/>
          <w:szCs w:val="24"/>
        </w:rPr>
        <w:t>.</w:t>
      </w:r>
      <w:r w:rsidR="00760A7B">
        <w:rPr>
          <w:rFonts w:ascii="Times New Roman" w:hAnsi="Times New Roman" w:cs="Times New Roman"/>
          <w:sz w:val="24"/>
          <w:szCs w:val="24"/>
        </w:rPr>
        <w:t xml:space="preserve"> En 2012, des Unités spécifiques pour Personnes en situation de Handicap Vieillissantes (UPHV, personnes de moins de 60 ans) et Agées (UPHA, personnes de plus de 60 ans) ont été créées et des professionnels du secteur social (M</w:t>
      </w:r>
      <w:r w:rsidR="00034CC0">
        <w:rPr>
          <w:rFonts w:ascii="Times New Roman" w:hAnsi="Times New Roman" w:cs="Times New Roman"/>
          <w:sz w:val="24"/>
          <w:szCs w:val="24"/>
        </w:rPr>
        <w:t xml:space="preserve">oniteur </w:t>
      </w:r>
      <w:r w:rsidR="00760A7B">
        <w:rPr>
          <w:rFonts w:ascii="Times New Roman" w:hAnsi="Times New Roman" w:cs="Times New Roman"/>
          <w:sz w:val="24"/>
          <w:szCs w:val="24"/>
        </w:rPr>
        <w:lastRenderedPageBreak/>
        <w:t>E</w:t>
      </w:r>
      <w:r w:rsidR="00034CC0">
        <w:rPr>
          <w:rFonts w:ascii="Times New Roman" w:hAnsi="Times New Roman" w:cs="Times New Roman"/>
          <w:sz w:val="24"/>
          <w:szCs w:val="24"/>
        </w:rPr>
        <w:t>ducateur</w:t>
      </w:r>
      <w:r w:rsidR="00475D26">
        <w:rPr>
          <w:rFonts w:ascii="Times New Roman" w:hAnsi="Times New Roman" w:cs="Times New Roman"/>
          <w:sz w:val="24"/>
          <w:szCs w:val="24"/>
        </w:rPr>
        <w:t xml:space="preserve"> et </w:t>
      </w:r>
      <w:r w:rsidR="00760A7B">
        <w:rPr>
          <w:rFonts w:ascii="Times New Roman" w:hAnsi="Times New Roman" w:cs="Times New Roman"/>
          <w:sz w:val="24"/>
          <w:szCs w:val="24"/>
        </w:rPr>
        <w:t>A</w:t>
      </w:r>
      <w:r w:rsidR="00034CC0">
        <w:rPr>
          <w:rFonts w:ascii="Times New Roman" w:hAnsi="Times New Roman" w:cs="Times New Roman"/>
          <w:sz w:val="24"/>
          <w:szCs w:val="24"/>
        </w:rPr>
        <w:t xml:space="preserve">ide </w:t>
      </w:r>
      <w:r w:rsidR="00760A7B">
        <w:rPr>
          <w:rFonts w:ascii="Times New Roman" w:hAnsi="Times New Roman" w:cs="Times New Roman"/>
          <w:sz w:val="24"/>
          <w:szCs w:val="24"/>
        </w:rPr>
        <w:t>M</w:t>
      </w:r>
      <w:r w:rsidR="00034CC0">
        <w:rPr>
          <w:rFonts w:ascii="Times New Roman" w:hAnsi="Times New Roman" w:cs="Times New Roman"/>
          <w:sz w:val="24"/>
          <w:szCs w:val="24"/>
        </w:rPr>
        <w:t>édico-</w:t>
      </w:r>
      <w:r w:rsidR="00760A7B">
        <w:rPr>
          <w:rFonts w:ascii="Times New Roman" w:hAnsi="Times New Roman" w:cs="Times New Roman"/>
          <w:sz w:val="24"/>
          <w:szCs w:val="24"/>
        </w:rPr>
        <w:t>P</w:t>
      </w:r>
      <w:r w:rsidR="00034CC0">
        <w:rPr>
          <w:rFonts w:ascii="Times New Roman" w:hAnsi="Times New Roman" w:cs="Times New Roman"/>
          <w:sz w:val="24"/>
          <w:szCs w:val="24"/>
        </w:rPr>
        <w:t>sychologique</w:t>
      </w:r>
      <w:r w:rsidR="00475D26">
        <w:rPr>
          <w:rFonts w:ascii="Times New Roman" w:hAnsi="Times New Roman" w:cs="Times New Roman"/>
          <w:sz w:val="24"/>
          <w:szCs w:val="24"/>
        </w:rPr>
        <w:t xml:space="preserve">) ainsi qu’un aide-soignant par unité </w:t>
      </w:r>
      <w:r w:rsidR="00760A7B">
        <w:rPr>
          <w:rFonts w:ascii="Times New Roman" w:hAnsi="Times New Roman" w:cs="Times New Roman"/>
          <w:sz w:val="24"/>
          <w:szCs w:val="24"/>
        </w:rPr>
        <w:t>ont été recrutés pour ac</w:t>
      </w:r>
      <w:r w:rsidR="00475D26">
        <w:rPr>
          <w:rFonts w:ascii="Times New Roman" w:hAnsi="Times New Roman" w:cs="Times New Roman"/>
          <w:sz w:val="24"/>
          <w:szCs w:val="24"/>
        </w:rPr>
        <w:t xml:space="preserve">compagner ce public spécifique. </w:t>
      </w:r>
      <w:r w:rsidR="00760A7B">
        <w:rPr>
          <w:rFonts w:ascii="Times New Roman" w:hAnsi="Times New Roman" w:cs="Times New Roman"/>
          <w:sz w:val="24"/>
          <w:szCs w:val="24"/>
        </w:rPr>
        <w:t xml:space="preserve">Lors du recrutement l’accent a été mis sur l’expérience auprès du public en situation de handicap, et pas nécessairement sur l’expérience du public vieillissant. Rapidement, ces professionnels ont su exprimer des </w:t>
      </w:r>
      <w:r w:rsidR="00567800">
        <w:rPr>
          <w:rFonts w:ascii="Times New Roman" w:hAnsi="Times New Roman" w:cs="Times New Roman"/>
          <w:sz w:val="24"/>
          <w:szCs w:val="24"/>
        </w:rPr>
        <w:t>difficulté</w:t>
      </w:r>
      <w:r w:rsidR="00034CC0">
        <w:rPr>
          <w:rFonts w:ascii="Times New Roman" w:hAnsi="Times New Roman" w:cs="Times New Roman"/>
          <w:sz w:val="24"/>
          <w:szCs w:val="24"/>
        </w:rPr>
        <w:t>s</w:t>
      </w:r>
      <w:r w:rsidR="00760A7B">
        <w:rPr>
          <w:rFonts w:ascii="Times New Roman" w:hAnsi="Times New Roman" w:cs="Times New Roman"/>
          <w:sz w:val="24"/>
          <w:szCs w:val="24"/>
        </w:rPr>
        <w:t xml:space="preserve"> </w:t>
      </w:r>
      <w:r w:rsidR="00AD6BFD">
        <w:rPr>
          <w:rFonts w:ascii="Times New Roman" w:hAnsi="Times New Roman" w:cs="Times New Roman"/>
          <w:sz w:val="24"/>
          <w:szCs w:val="24"/>
        </w:rPr>
        <w:t>à</w:t>
      </w:r>
      <w:r w:rsidR="00760A7B">
        <w:rPr>
          <w:rFonts w:ascii="Times New Roman" w:hAnsi="Times New Roman" w:cs="Times New Roman"/>
          <w:sz w:val="24"/>
          <w:szCs w:val="24"/>
        </w:rPr>
        <w:t xml:space="preserve"> accompagner et des incompréhension</w:t>
      </w:r>
      <w:r w:rsidR="003C5F9D">
        <w:rPr>
          <w:rFonts w:ascii="Times New Roman" w:hAnsi="Times New Roman" w:cs="Times New Roman"/>
          <w:sz w:val="24"/>
          <w:szCs w:val="24"/>
        </w:rPr>
        <w:t>s</w:t>
      </w:r>
      <w:r w:rsidR="00760A7B">
        <w:rPr>
          <w:rFonts w:ascii="Times New Roman" w:hAnsi="Times New Roman" w:cs="Times New Roman"/>
          <w:sz w:val="24"/>
          <w:szCs w:val="24"/>
        </w:rPr>
        <w:t xml:space="preserve"> face </w:t>
      </w:r>
      <w:r w:rsidR="00567800">
        <w:rPr>
          <w:rFonts w:ascii="Times New Roman" w:hAnsi="Times New Roman" w:cs="Times New Roman"/>
          <w:sz w:val="24"/>
          <w:szCs w:val="24"/>
        </w:rPr>
        <w:t>à</w:t>
      </w:r>
      <w:r w:rsidR="00760A7B">
        <w:rPr>
          <w:rFonts w:ascii="Times New Roman" w:hAnsi="Times New Roman" w:cs="Times New Roman"/>
          <w:sz w:val="24"/>
          <w:szCs w:val="24"/>
        </w:rPr>
        <w:t xml:space="preserve"> un </w:t>
      </w:r>
      <w:r w:rsidR="00567800">
        <w:rPr>
          <w:rFonts w:ascii="Times New Roman" w:hAnsi="Times New Roman" w:cs="Times New Roman"/>
          <w:sz w:val="24"/>
          <w:szCs w:val="24"/>
        </w:rPr>
        <w:t>vieillissement</w:t>
      </w:r>
      <w:r w:rsidR="00760A7B">
        <w:rPr>
          <w:rFonts w:ascii="Times New Roman" w:hAnsi="Times New Roman" w:cs="Times New Roman"/>
          <w:sz w:val="24"/>
          <w:szCs w:val="24"/>
        </w:rPr>
        <w:t xml:space="preserve"> qui semble particulier de </w:t>
      </w:r>
      <w:r w:rsidR="00567800">
        <w:rPr>
          <w:rFonts w:ascii="Times New Roman" w:hAnsi="Times New Roman" w:cs="Times New Roman"/>
          <w:sz w:val="24"/>
          <w:szCs w:val="24"/>
        </w:rPr>
        <w:t>par</w:t>
      </w:r>
      <w:r w:rsidR="00760A7B">
        <w:rPr>
          <w:rFonts w:ascii="Times New Roman" w:hAnsi="Times New Roman" w:cs="Times New Roman"/>
          <w:sz w:val="24"/>
          <w:szCs w:val="24"/>
        </w:rPr>
        <w:t xml:space="preserve"> sa rapidité et sa soudaineté. </w:t>
      </w:r>
      <w:r w:rsidR="00C75F72">
        <w:rPr>
          <w:rFonts w:ascii="Times New Roman" w:hAnsi="Times New Roman" w:cs="Times New Roman"/>
          <w:sz w:val="24"/>
          <w:szCs w:val="24"/>
        </w:rPr>
        <w:t xml:space="preserve">Certains collègues </w:t>
      </w:r>
      <w:r w:rsidR="00567800">
        <w:rPr>
          <w:rFonts w:ascii="Times New Roman" w:hAnsi="Times New Roman" w:cs="Times New Roman"/>
          <w:sz w:val="24"/>
          <w:szCs w:val="24"/>
        </w:rPr>
        <w:t>exprimaient</w:t>
      </w:r>
      <w:r w:rsidR="00C75F72">
        <w:rPr>
          <w:rFonts w:ascii="Times New Roman" w:hAnsi="Times New Roman" w:cs="Times New Roman"/>
          <w:sz w:val="24"/>
          <w:szCs w:val="24"/>
        </w:rPr>
        <w:t xml:space="preserve"> perdre le sens du travail éducatif, perdre leur cœur </w:t>
      </w:r>
      <w:r w:rsidR="001B624D">
        <w:rPr>
          <w:rFonts w:ascii="Times New Roman" w:hAnsi="Times New Roman" w:cs="Times New Roman"/>
          <w:sz w:val="24"/>
          <w:szCs w:val="24"/>
        </w:rPr>
        <w:t xml:space="preserve">de métier. </w:t>
      </w:r>
      <w:r w:rsidR="004C5563">
        <w:rPr>
          <w:rFonts w:ascii="Times New Roman" w:hAnsi="Times New Roman" w:cs="Times New Roman"/>
          <w:sz w:val="24"/>
          <w:szCs w:val="24"/>
        </w:rPr>
        <w:t xml:space="preserve">Nous nous sommes mis en quête de pistes de </w:t>
      </w:r>
      <w:r w:rsidR="00D03D9D">
        <w:rPr>
          <w:rFonts w:ascii="Times New Roman" w:hAnsi="Times New Roman" w:cs="Times New Roman"/>
          <w:sz w:val="24"/>
          <w:szCs w:val="24"/>
        </w:rPr>
        <w:t>réflexion</w:t>
      </w:r>
      <w:r w:rsidR="004C5563">
        <w:rPr>
          <w:rFonts w:ascii="Times New Roman" w:hAnsi="Times New Roman" w:cs="Times New Roman"/>
          <w:sz w:val="24"/>
          <w:szCs w:val="24"/>
        </w:rPr>
        <w:t>, d’exemples, de</w:t>
      </w:r>
      <w:r w:rsidR="00715982">
        <w:rPr>
          <w:rFonts w:ascii="Times New Roman" w:hAnsi="Times New Roman" w:cs="Times New Roman"/>
          <w:sz w:val="24"/>
          <w:szCs w:val="24"/>
        </w:rPr>
        <w:t xml:space="preserve"> préconisation d’accompagnement. </w:t>
      </w:r>
    </w:p>
    <w:p w:rsidR="0090419E" w:rsidRPr="0090419E" w:rsidRDefault="00715982" w:rsidP="00715982">
      <w:pPr>
        <w:jc w:val="both"/>
        <w:rPr>
          <w:rFonts w:ascii="Times New Roman" w:hAnsi="Times New Roman" w:cs="Times New Roman"/>
          <w:sz w:val="24"/>
          <w:szCs w:val="24"/>
        </w:rPr>
      </w:pPr>
      <w:r w:rsidRPr="00185074">
        <w:rPr>
          <w:rFonts w:ascii="Times New Roman" w:hAnsi="Times New Roman" w:cs="Times New Roman"/>
          <w:sz w:val="24"/>
          <w:szCs w:val="24"/>
        </w:rPr>
        <w:t>Il existe plusieurs études s’intéressant plus spécifiqu</w:t>
      </w:r>
      <w:r w:rsidR="003C5F9D">
        <w:rPr>
          <w:rFonts w:ascii="Times New Roman" w:hAnsi="Times New Roman" w:cs="Times New Roman"/>
          <w:sz w:val="24"/>
          <w:szCs w:val="24"/>
        </w:rPr>
        <w:t>ement aux facteurs cognitifs,</w:t>
      </w:r>
      <w:r w:rsidRPr="00185074">
        <w:rPr>
          <w:rFonts w:ascii="Times New Roman" w:hAnsi="Times New Roman" w:cs="Times New Roman"/>
          <w:sz w:val="24"/>
          <w:szCs w:val="24"/>
        </w:rPr>
        <w:t xml:space="preserve"> psycho-</w:t>
      </w:r>
      <w:r w:rsidRPr="0090419E">
        <w:rPr>
          <w:rFonts w:ascii="Times New Roman" w:hAnsi="Times New Roman" w:cs="Times New Roman"/>
          <w:sz w:val="24"/>
          <w:szCs w:val="24"/>
        </w:rPr>
        <w:t>sociaux ou médicaux qui mettent en avant certaines hypothèses, notamment sur le lien entre Trisomie 21 et démence de type Alzheimer. Haxby (1989) comme Alexander et al</w:t>
      </w:r>
      <w:r w:rsidR="007523FD">
        <w:rPr>
          <w:rFonts w:ascii="Times New Roman" w:hAnsi="Times New Roman" w:cs="Times New Roman"/>
          <w:sz w:val="24"/>
          <w:szCs w:val="24"/>
        </w:rPr>
        <w:t>i</w:t>
      </w:r>
      <w:r w:rsidRPr="0090419E">
        <w:rPr>
          <w:rFonts w:ascii="Times New Roman" w:hAnsi="Times New Roman" w:cs="Times New Roman"/>
          <w:sz w:val="24"/>
          <w:szCs w:val="24"/>
        </w:rPr>
        <w:t>. (1997), mettent en évidence une diminution des scores aux épreuves d'orientation, de mémoire différée e</w:t>
      </w:r>
      <w:r w:rsidR="0090419E" w:rsidRPr="0090419E">
        <w:rPr>
          <w:rFonts w:ascii="Times New Roman" w:hAnsi="Times New Roman" w:cs="Times New Roman"/>
          <w:sz w:val="24"/>
          <w:szCs w:val="24"/>
        </w:rPr>
        <w:t xml:space="preserve">t aux épreuves visuo-spatiales. </w:t>
      </w:r>
      <w:r w:rsidRPr="0090419E">
        <w:rPr>
          <w:rFonts w:ascii="Times New Roman" w:hAnsi="Times New Roman" w:cs="Times New Roman"/>
          <w:sz w:val="24"/>
          <w:szCs w:val="24"/>
        </w:rPr>
        <w:t>Selon Comblain et Thibaut (2009</w:t>
      </w:r>
      <w:r w:rsidR="00185074">
        <w:rPr>
          <w:rFonts w:ascii="Times New Roman" w:hAnsi="Times New Roman" w:cs="Times New Roman"/>
          <w:sz w:val="24"/>
          <w:szCs w:val="24"/>
        </w:rPr>
        <w:t>, p 491</w:t>
      </w:r>
      <w:r w:rsidRPr="0090419E">
        <w:rPr>
          <w:rFonts w:ascii="Times New Roman" w:hAnsi="Times New Roman" w:cs="Times New Roman"/>
          <w:sz w:val="24"/>
          <w:szCs w:val="24"/>
        </w:rPr>
        <w:t xml:space="preserve">), « dans certains cas, l'évolution de la personne trisomique 21 à l'âge adulte se caractérise par </w:t>
      </w:r>
      <w:r w:rsidRPr="0090419E">
        <w:rPr>
          <w:rFonts w:ascii="Times New Roman" w:hAnsi="Times New Roman" w:cs="Times New Roman"/>
          <w:i/>
          <w:iCs/>
          <w:sz w:val="24"/>
          <w:szCs w:val="24"/>
        </w:rPr>
        <w:t>l'apparition de signes de démence</w:t>
      </w:r>
      <w:r w:rsidRPr="0090419E">
        <w:rPr>
          <w:rFonts w:ascii="Times New Roman" w:hAnsi="Times New Roman" w:cs="Times New Roman"/>
          <w:sz w:val="24"/>
          <w:szCs w:val="24"/>
        </w:rPr>
        <w:t>. Des changements cognitifs significatifs, précurseurs de démence, peuvent être observés aux environs de 54 ans dans le fonctionnement mnésique. Ils précèdent les changements dans les fonctions motrices et</w:t>
      </w:r>
      <w:r w:rsidR="0090419E" w:rsidRPr="0090419E">
        <w:rPr>
          <w:rFonts w:ascii="Times New Roman" w:hAnsi="Times New Roman" w:cs="Times New Roman"/>
          <w:sz w:val="24"/>
          <w:szCs w:val="24"/>
        </w:rPr>
        <w:t xml:space="preserve"> les praxies. Une détérioration concernant</w:t>
      </w:r>
      <w:r w:rsidRPr="0090419E">
        <w:rPr>
          <w:rFonts w:ascii="Times New Roman" w:hAnsi="Times New Roman" w:cs="Times New Roman"/>
          <w:sz w:val="24"/>
          <w:szCs w:val="24"/>
        </w:rPr>
        <w:t xml:space="preserve"> principalement les domaines de l'autonomie, de la désorientation, de la dépression, de l'irritabilité et du retrait social</w:t>
      </w:r>
      <w:r w:rsidR="0090419E" w:rsidRPr="0090419E">
        <w:rPr>
          <w:rFonts w:ascii="Times New Roman" w:hAnsi="Times New Roman" w:cs="Times New Roman"/>
          <w:sz w:val="24"/>
          <w:szCs w:val="24"/>
        </w:rPr>
        <w:t xml:space="preserve"> sont observables dès 55 ans</w:t>
      </w:r>
      <w:r w:rsidR="00475D26">
        <w:rPr>
          <w:rFonts w:ascii="Times New Roman" w:hAnsi="Times New Roman" w:cs="Times New Roman"/>
          <w:sz w:val="24"/>
          <w:szCs w:val="24"/>
        </w:rPr>
        <w:t> »</w:t>
      </w:r>
      <w:r w:rsidR="0090419E" w:rsidRPr="0090419E">
        <w:rPr>
          <w:rFonts w:ascii="Times New Roman" w:hAnsi="Times New Roman" w:cs="Times New Roman"/>
          <w:sz w:val="24"/>
          <w:szCs w:val="24"/>
        </w:rPr>
        <w:t>.</w:t>
      </w:r>
      <w:r w:rsidRPr="0090419E">
        <w:rPr>
          <w:rFonts w:ascii="Times New Roman" w:hAnsi="Times New Roman" w:cs="Times New Roman"/>
          <w:sz w:val="24"/>
          <w:szCs w:val="24"/>
        </w:rPr>
        <w:t xml:space="preserve"> Ces données confirment celles de Haxby (1989) qui laissaient suggérer l'existence de deux stades dans le déclin cognitif des personnes trisomiques 21 adultes les plus âgées. Le premier correspondrait à un déclin des performances cognitives ; le second à une per</w:t>
      </w:r>
      <w:r w:rsidR="00185074">
        <w:rPr>
          <w:rFonts w:ascii="Times New Roman" w:hAnsi="Times New Roman" w:cs="Times New Roman"/>
          <w:sz w:val="24"/>
          <w:szCs w:val="24"/>
        </w:rPr>
        <w:t>te des comportements sur-appris</w:t>
      </w:r>
      <w:r w:rsidRPr="0090419E">
        <w:rPr>
          <w:rFonts w:ascii="Times New Roman" w:hAnsi="Times New Roman" w:cs="Times New Roman"/>
          <w:sz w:val="24"/>
          <w:szCs w:val="24"/>
        </w:rPr>
        <w:t>.</w:t>
      </w:r>
      <w:r w:rsidR="0090419E" w:rsidRPr="0090419E">
        <w:rPr>
          <w:rFonts w:ascii="Times New Roman" w:hAnsi="Times New Roman" w:cs="Times New Roman"/>
          <w:sz w:val="24"/>
          <w:szCs w:val="24"/>
        </w:rPr>
        <w:t xml:space="preserve"> </w:t>
      </w:r>
      <w:r w:rsidRPr="0090419E">
        <w:rPr>
          <w:rFonts w:ascii="Times New Roman" w:hAnsi="Times New Roman" w:cs="Times New Roman"/>
          <w:sz w:val="24"/>
          <w:szCs w:val="24"/>
        </w:rPr>
        <w:t>L’étude de Coppus et al</w:t>
      </w:r>
      <w:r w:rsidR="007523FD">
        <w:rPr>
          <w:rFonts w:ascii="Times New Roman" w:hAnsi="Times New Roman" w:cs="Times New Roman"/>
          <w:sz w:val="24"/>
          <w:szCs w:val="24"/>
        </w:rPr>
        <w:t>i</w:t>
      </w:r>
      <w:r w:rsidRPr="0090419E">
        <w:rPr>
          <w:rFonts w:ascii="Times New Roman" w:hAnsi="Times New Roman" w:cs="Times New Roman"/>
          <w:sz w:val="24"/>
          <w:szCs w:val="24"/>
        </w:rPr>
        <w:t xml:space="preserve"> (2006) indique que </w:t>
      </w:r>
      <w:r w:rsidR="00185074" w:rsidRPr="0090419E">
        <w:rPr>
          <w:rFonts w:ascii="Times New Roman" w:hAnsi="Times New Roman" w:cs="Times New Roman"/>
          <w:sz w:val="24"/>
          <w:szCs w:val="24"/>
        </w:rPr>
        <w:t>les trois quarts</w:t>
      </w:r>
      <w:r w:rsidRPr="0090419E">
        <w:rPr>
          <w:rFonts w:ascii="Times New Roman" w:hAnsi="Times New Roman" w:cs="Times New Roman"/>
          <w:sz w:val="24"/>
          <w:szCs w:val="24"/>
        </w:rPr>
        <w:t xml:space="preserve"> des personnes porteuses de trisomie 21, âgées de plus de 60 ans ne présentent pas de démence. Ainsi, de nombreux autres facteurs sont impliqués dans l’apparition d’une démence. </w:t>
      </w:r>
    </w:p>
    <w:p w:rsidR="00715982" w:rsidRPr="0090419E" w:rsidRDefault="00715982" w:rsidP="00715982">
      <w:pPr>
        <w:jc w:val="both"/>
        <w:rPr>
          <w:rFonts w:ascii="Times New Roman" w:hAnsi="Times New Roman" w:cs="Times New Roman"/>
          <w:sz w:val="24"/>
          <w:szCs w:val="24"/>
        </w:rPr>
      </w:pPr>
      <w:r w:rsidRPr="0090419E">
        <w:rPr>
          <w:rFonts w:ascii="Times New Roman" w:hAnsi="Times New Roman" w:cs="Times New Roman"/>
          <w:color w:val="000000" w:themeColor="text1"/>
          <w:sz w:val="24"/>
          <w:szCs w:val="24"/>
        </w:rPr>
        <w:t>Evans et al</w:t>
      </w:r>
      <w:r w:rsidR="007523FD">
        <w:rPr>
          <w:rFonts w:ascii="Times New Roman" w:hAnsi="Times New Roman" w:cs="Times New Roman"/>
          <w:color w:val="000000" w:themeColor="text1"/>
          <w:sz w:val="24"/>
          <w:szCs w:val="24"/>
        </w:rPr>
        <w:t>i</w:t>
      </w:r>
      <w:r w:rsidRPr="0090419E">
        <w:rPr>
          <w:rFonts w:ascii="Times New Roman" w:hAnsi="Times New Roman" w:cs="Times New Roman"/>
          <w:color w:val="000000" w:themeColor="text1"/>
          <w:sz w:val="24"/>
          <w:szCs w:val="24"/>
        </w:rPr>
        <w:t xml:space="preserve"> (2013) montrent </w:t>
      </w:r>
      <w:r w:rsidRPr="0090419E">
        <w:rPr>
          <w:rFonts w:ascii="Times New Roman" w:hAnsi="Times New Roman" w:cs="Times New Roman"/>
          <w:sz w:val="24"/>
          <w:szCs w:val="24"/>
        </w:rPr>
        <w:t>ainsi, que au-delà des facteurs génétiques, la réduction de l’efficience intellectuelle, les opportunités plus restreinte</w:t>
      </w:r>
      <w:r w:rsidR="00F819F8">
        <w:rPr>
          <w:rFonts w:ascii="Times New Roman" w:hAnsi="Times New Roman" w:cs="Times New Roman"/>
          <w:sz w:val="24"/>
          <w:szCs w:val="24"/>
        </w:rPr>
        <w:t>s</w:t>
      </w:r>
      <w:r w:rsidRPr="0090419E">
        <w:rPr>
          <w:rFonts w:ascii="Times New Roman" w:hAnsi="Times New Roman" w:cs="Times New Roman"/>
          <w:sz w:val="24"/>
          <w:szCs w:val="24"/>
        </w:rPr>
        <w:t xml:space="preserve"> de formation et d’engagement dans des activités stimulantes (quel que soit l’âge), le réseau social plus restreint, la présence plus fréquente de traumatismes crâniens chez les personnes présentant une déficience intellectuelle, la présence marquée de traumatismes émotionnels (abandon, isolement familial, vie institutionnelle, maltraitances ), un régime alimentaire déséquilibré, le manque d’exercice physique et l’obésité</w:t>
      </w:r>
      <w:r w:rsidR="0090419E" w:rsidRPr="0090419E">
        <w:rPr>
          <w:rFonts w:ascii="Times New Roman" w:hAnsi="Times New Roman" w:cs="Times New Roman"/>
          <w:sz w:val="24"/>
          <w:szCs w:val="24"/>
        </w:rPr>
        <w:t>, l</w:t>
      </w:r>
      <w:r w:rsidRPr="0090419E">
        <w:rPr>
          <w:rFonts w:ascii="Times New Roman" w:hAnsi="Times New Roman" w:cs="Times New Roman"/>
          <w:sz w:val="24"/>
          <w:szCs w:val="24"/>
        </w:rPr>
        <w:t>es</w:t>
      </w:r>
      <w:r w:rsidR="0090419E" w:rsidRPr="0090419E">
        <w:rPr>
          <w:rFonts w:ascii="Times New Roman" w:hAnsi="Times New Roman" w:cs="Times New Roman"/>
          <w:sz w:val="24"/>
          <w:szCs w:val="24"/>
        </w:rPr>
        <w:t xml:space="preserve"> problèmes vasculaires sont d’autres facteurs entrant en jeu dans l’apparition précoce d’une « démence ».</w:t>
      </w:r>
      <w:r w:rsidRPr="0090419E">
        <w:rPr>
          <w:rFonts w:ascii="Times New Roman" w:hAnsi="Times New Roman" w:cs="Times New Roman"/>
          <w:sz w:val="24"/>
          <w:szCs w:val="24"/>
        </w:rPr>
        <w:t xml:space="preserve"> Ces problèmes sont très fréquents et souvent diagnostiqué</w:t>
      </w:r>
      <w:r w:rsidR="00F819F8">
        <w:rPr>
          <w:rFonts w:ascii="Times New Roman" w:hAnsi="Times New Roman" w:cs="Times New Roman"/>
          <w:sz w:val="24"/>
          <w:szCs w:val="24"/>
        </w:rPr>
        <w:t>s</w:t>
      </w:r>
      <w:r w:rsidRPr="0090419E">
        <w:rPr>
          <w:rFonts w:ascii="Times New Roman" w:hAnsi="Times New Roman" w:cs="Times New Roman"/>
          <w:sz w:val="24"/>
          <w:szCs w:val="24"/>
        </w:rPr>
        <w:t xml:space="preserve"> tardivement chez les personnes porteuses de Trisomie 21.</w:t>
      </w:r>
    </w:p>
    <w:p w:rsidR="00715982" w:rsidRPr="0090419E" w:rsidRDefault="00715982" w:rsidP="00715982">
      <w:pPr>
        <w:jc w:val="both"/>
        <w:rPr>
          <w:rFonts w:ascii="Times New Roman" w:hAnsi="Times New Roman" w:cs="Times New Roman"/>
          <w:sz w:val="24"/>
          <w:szCs w:val="24"/>
        </w:rPr>
      </w:pPr>
      <w:r w:rsidRPr="0090419E">
        <w:rPr>
          <w:rFonts w:ascii="Times New Roman" w:hAnsi="Times New Roman" w:cs="Times New Roman"/>
          <w:sz w:val="24"/>
          <w:szCs w:val="24"/>
        </w:rPr>
        <w:t>Fernandez et Edgin (2013) ont émis l’hypothèse selon laquelle des problèmes de sommeil (sommeil fragmenté et syndrome d’apnées obstructives du sommeil), fréquents chez les personnes avec syndrome de Down, pourraient jouer un rôle dans le déclin cognitif lié à l’âge observé chez elles. Pour poursuivre sur cette idée, Breslin et al</w:t>
      </w:r>
      <w:r w:rsidR="007523FD">
        <w:rPr>
          <w:rFonts w:ascii="Times New Roman" w:hAnsi="Times New Roman" w:cs="Times New Roman"/>
          <w:sz w:val="24"/>
          <w:szCs w:val="24"/>
        </w:rPr>
        <w:t>i</w:t>
      </w:r>
      <w:r w:rsidRPr="0090419E">
        <w:rPr>
          <w:rFonts w:ascii="Times New Roman" w:hAnsi="Times New Roman" w:cs="Times New Roman"/>
          <w:sz w:val="24"/>
          <w:szCs w:val="24"/>
        </w:rPr>
        <w:t xml:space="preserve"> (2014), ont mis en évidence une relation entre apnées du sommeil et fonctionnement cognitif chez des enfants présentant un syndrome de Down.</w:t>
      </w:r>
    </w:p>
    <w:p w:rsidR="00B37290" w:rsidRDefault="004C5563" w:rsidP="00444EF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419E">
        <w:rPr>
          <w:rFonts w:ascii="Times New Roman" w:hAnsi="Times New Roman" w:cs="Times New Roman"/>
          <w:sz w:val="24"/>
          <w:szCs w:val="24"/>
        </w:rPr>
        <w:t xml:space="preserve">Cela nous indique qu’il semble bien y avoir une spécificité au vieillissement des personnes porteuses de Trisomie 21, </w:t>
      </w:r>
      <w:r>
        <w:rPr>
          <w:rFonts w:ascii="Times New Roman" w:hAnsi="Times New Roman" w:cs="Times New Roman"/>
          <w:sz w:val="24"/>
          <w:szCs w:val="24"/>
        </w:rPr>
        <w:t xml:space="preserve">mais </w:t>
      </w:r>
      <w:r w:rsidR="0090419E">
        <w:rPr>
          <w:rFonts w:ascii="Times New Roman" w:hAnsi="Times New Roman" w:cs="Times New Roman"/>
          <w:sz w:val="24"/>
          <w:szCs w:val="24"/>
        </w:rPr>
        <w:t xml:space="preserve">les résultats de ces recherches n’apportaient rien </w:t>
      </w:r>
      <w:r w:rsidR="00D03D9D">
        <w:rPr>
          <w:rFonts w:ascii="Times New Roman" w:hAnsi="Times New Roman" w:cs="Times New Roman"/>
          <w:sz w:val="24"/>
          <w:szCs w:val="24"/>
        </w:rPr>
        <w:t>sur le volet de l’accompagnement du quotidien</w:t>
      </w:r>
      <w:r w:rsidR="0090419E">
        <w:rPr>
          <w:rFonts w:ascii="Times New Roman" w:hAnsi="Times New Roman" w:cs="Times New Roman"/>
          <w:sz w:val="24"/>
          <w:szCs w:val="24"/>
        </w:rPr>
        <w:t xml:space="preserve"> que nous pouvions mettre en place concrètement auprès des résidents</w:t>
      </w:r>
      <w:r w:rsidR="00D03D9D">
        <w:rPr>
          <w:rFonts w:ascii="Times New Roman" w:hAnsi="Times New Roman" w:cs="Times New Roman"/>
          <w:sz w:val="24"/>
          <w:szCs w:val="24"/>
        </w:rPr>
        <w:t xml:space="preserve">. </w:t>
      </w:r>
      <w:r w:rsidR="0090419E">
        <w:rPr>
          <w:rFonts w:ascii="Times New Roman" w:hAnsi="Times New Roman" w:cs="Times New Roman"/>
          <w:sz w:val="24"/>
          <w:szCs w:val="24"/>
        </w:rPr>
        <w:t>L’idée de mener notre propre</w:t>
      </w:r>
      <w:r w:rsidR="00624D0F">
        <w:rPr>
          <w:rFonts w:ascii="Times New Roman" w:hAnsi="Times New Roman" w:cs="Times New Roman"/>
          <w:sz w:val="24"/>
          <w:szCs w:val="24"/>
        </w:rPr>
        <w:t xml:space="preserve"> recherche-action émergeait. </w:t>
      </w:r>
      <w:r w:rsidR="00444EFE">
        <w:rPr>
          <w:rFonts w:ascii="Times New Roman" w:hAnsi="Times New Roman" w:cs="Times New Roman"/>
          <w:sz w:val="24"/>
          <w:szCs w:val="24"/>
        </w:rPr>
        <w:t xml:space="preserve">En effet, nous voulions faire un lien entre la théorie et le terrain, investir les équipes, illustrer et partager notre expérience et </w:t>
      </w:r>
      <w:r w:rsidR="000220C0">
        <w:rPr>
          <w:rFonts w:ascii="Times New Roman" w:hAnsi="Times New Roman" w:cs="Times New Roman"/>
          <w:sz w:val="24"/>
          <w:szCs w:val="24"/>
        </w:rPr>
        <w:t>acquérir</w:t>
      </w:r>
      <w:r w:rsidR="00444EFE">
        <w:rPr>
          <w:rFonts w:ascii="Times New Roman" w:hAnsi="Times New Roman" w:cs="Times New Roman"/>
          <w:sz w:val="24"/>
          <w:szCs w:val="24"/>
        </w:rPr>
        <w:t xml:space="preserve"> une meilleure connaissance du vieillissement afin d’ajuster nos pratiques. </w:t>
      </w:r>
      <w:r w:rsidR="00D03D9D">
        <w:rPr>
          <w:rFonts w:ascii="Times New Roman" w:hAnsi="Times New Roman" w:cs="Times New Roman"/>
          <w:sz w:val="24"/>
          <w:szCs w:val="24"/>
        </w:rPr>
        <w:t>Nous nous sommes alors rapprochés de l’ARIFTS d’Angers (Association Régionale pour l’Institut de Formation en Travail Social) afin d’</w:t>
      </w:r>
      <w:r w:rsidR="00624D0F">
        <w:rPr>
          <w:rFonts w:ascii="Times New Roman" w:hAnsi="Times New Roman" w:cs="Times New Roman"/>
          <w:sz w:val="24"/>
          <w:szCs w:val="24"/>
        </w:rPr>
        <w:t>établir un partenariat : un pilotage de la recherche via une personne qualifiée et en échange, une intervention des professionnels de la résidence sur les temps de formation des futurs Moniteurs Educateurs autour de la question du vieillissement qui n’est pas abordée dans les cursus initiaux.</w:t>
      </w:r>
      <w:r w:rsidR="00444EFE">
        <w:rPr>
          <w:rFonts w:ascii="Times New Roman" w:hAnsi="Times New Roman" w:cs="Times New Roman"/>
          <w:sz w:val="24"/>
          <w:szCs w:val="24"/>
        </w:rPr>
        <w:t xml:space="preserve"> </w:t>
      </w:r>
    </w:p>
    <w:p w:rsidR="00185074" w:rsidRDefault="00185074" w:rsidP="00444EFE">
      <w:pPr>
        <w:jc w:val="both"/>
        <w:rPr>
          <w:rFonts w:ascii="Times New Roman" w:hAnsi="Times New Roman" w:cs="Times New Roman"/>
          <w:sz w:val="24"/>
          <w:szCs w:val="24"/>
        </w:rPr>
      </w:pPr>
    </w:p>
    <w:p w:rsidR="000220C0" w:rsidRPr="00C857E4" w:rsidRDefault="000220C0" w:rsidP="00444EFE">
      <w:pPr>
        <w:jc w:val="both"/>
        <w:rPr>
          <w:rFonts w:ascii="Times New Roman" w:hAnsi="Times New Roman" w:cs="Times New Roman"/>
          <w:b/>
          <w:sz w:val="24"/>
          <w:szCs w:val="24"/>
        </w:rPr>
      </w:pPr>
      <w:r w:rsidRPr="00C857E4">
        <w:rPr>
          <w:rFonts w:ascii="Times New Roman" w:hAnsi="Times New Roman" w:cs="Times New Roman"/>
          <w:b/>
          <w:sz w:val="24"/>
          <w:szCs w:val="24"/>
        </w:rPr>
        <w:t>2/ Constats et hypothèses</w:t>
      </w:r>
    </w:p>
    <w:p w:rsidR="00624D0F" w:rsidRDefault="00624D0F" w:rsidP="00444EFE">
      <w:pPr>
        <w:jc w:val="both"/>
        <w:rPr>
          <w:rFonts w:ascii="Times New Roman" w:hAnsi="Times New Roman" w:cs="Times New Roman"/>
          <w:sz w:val="24"/>
          <w:szCs w:val="24"/>
        </w:rPr>
      </w:pPr>
      <w:r>
        <w:rPr>
          <w:rFonts w:ascii="Times New Roman" w:hAnsi="Times New Roman" w:cs="Times New Roman"/>
          <w:sz w:val="24"/>
          <w:szCs w:val="24"/>
        </w:rPr>
        <w:t>Ainsi cette recherche s’est montée sur la base de trois constats et d</w:t>
      </w:r>
      <w:r w:rsidR="00AD2210">
        <w:rPr>
          <w:rFonts w:ascii="Times New Roman" w:hAnsi="Times New Roman" w:cs="Times New Roman"/>
          <w:sz w:val="24"/>
          <w:szCs w:val="24"/>
        </w:rPr>
        <w:t>eux hypothèses. Premier constat :</w:t>
      </w:r>
      <w:r>
        <w:rPr>
          <w:rFonts w:ascii="Times New Roman" w:hAnsi="Times New Roman" w:cs="Times New Roman"/>
          <w:sz w:val="24"/>
          <w:szCs w:val="24"/>
        </w:rPr>
        <w:t xml:space="preserve"> sur </w:t>
      </w:r>
      <w:r w:rsidR="00475D26">
        <w:rPr>
          <w:rFonts w:ascii="Times New Roman" w:hAnsi="Times New Roman" w:cs="Times New Roman"/>
          <w:sz w:val="24"/>
          <w:szCs w:val="24"/>
        </w:rPr>
        <w:t xml:space="preserve">l’ensemble des personnes en situation de handicap accueillies, c’est chez les résidents porteurs de Trisomie 21 que les signes de vieillissement ont été observés en premier </w:t>
      </w:r>
      <w:r>
        <w:rPr>
          <w:rFonts w:ascii="Times New Roman" w:hAnsi="Times New Roman" w:cs="Times New Roman"/>
          <w:sz w:val="24"/>
          <w:szCs w:val="24"/>
        </w:rPr>
        <w:t xml:space="preserve">(5 résidents sur 27). Second constat, ce vieillissement semblait particulier, avec des caractéristiques communes entre plusieurs résidants ne se côtoyant pas (dans les faits et dans la chronologie d’apparition de ces faits). Le troisième constat était que l’accompagnement du vieillissement des résidents </w:t>
      </w:r>
      <w:r w:rsidR="00475D26">
        <w:rPr>
          <w:rFonts w:ascii="Times New Roman" w:hAnsi="Times New Roman" w:cs="Times New Roman"/>
          <w:sz w:val="24"/>
          <w:szCs w:val="24"/>
        </w:rPr>
        <w:t>met en difficulté</w:t>
      </w:r>
      <w:r>
        <w:rPr>
          <w:rFonts w:ascii="Times New Roman" w:hAnsi="Times New Roman" w:cs="Times New Roman"/>
          <w:sz w:val="24"/>
          <w:szCs w:val="24"/>
        </w:rPr>
        <w:t xml:space="preserve"> cert</w:t>
      </w:r>
      <w:r w:rsidR="00475D26">
        <w:rPr>
          <w:rFonts w:ascii="Times New Roman" w:hAnsi="Times New Roman" w:cs="Times New Roman"/>
          <w:sz w:val="24"/>
          <w:szCs w:val="24"/>
        </w:rPr>
        <w:t xml:space="preserve">ains professionnels, mais pas </w:t>
      </w:r>
      <w:r>
        <w:rPr>
          <w:rFonts w:ascii="Times New Roman" w:hAnsi="Times New Roman" w:cs="Times New Roman"/>
          <w:sz w:val="24"/>
          <w:szCs w:val="24"/>
        </w:rPr>
        <w:t xml:space="preserve">d’autres. Ces trois constats nous ont conduit à émettre deux hypothèses : </w:t>
      </w:r>
    </w:p>
    <w:p w:rsidR="00624D0F" w:rsidRDefault="00624D0F" w:rsidP="00444EFE">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Le vieillissement des personnes porteuses de Trisomie 21 se fait par paliers identifiables</w:t>
      </w:r>
      <w:r w:rsidR="00444EFE">
        <w:rPr>
          <w:rFonts w:ascii="Times New Roman" w:hAnsi="Times New Roman" w:cs="Times New Roman"/>
          <w:sz w:val="24"/>
          <w:szCs w:val="24"/>
        </w:rPr>
        <w:t>.</w:t>
      </w:r>
    </w:p>
    <w:p w:rsidR="00624D0F" w:rsidRDefault="00624D0F" w:rsidP="00444EFE">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Les formations éducatives valorisent le développement de l’autonomie au détriment de l’adaptation aux pertes inhérentes au vieillissement mettant </w:t>
      </w:r>
      <w:r w:rsidR="00444EFE">
        <w:rPr>
          <w:rFonts w:ascii="Times New Roman" w:hAnsi="Times New Roman" w:cs="Times New Roman"/>
          <w:sz w:val="24"/>
          <w:szCs w:val="24"/>
        </w:rPr>
        <w:t xml:space="preserve">ainsi </w:t>
      </w:r>
      <w:r>
        <w:rPr>
          <w:rFonts w:ascii="Times New Roman" w:hAnsi="Times New Roman" w:cs="Times New Roman"/>
          <w:sz w:val="24"/>
          <w:szCs w:val="24"/>
        </w:rPr>
        <w:t>certains professionnels en difficulté pour ajuster leur positionnement.</w:t>
      </w:r>
    </w:p>
    <w:p w:rsidR="000220C0" w:rsidRPr="00C857E4" w:rsidRDefault="000220C0" w:rsidP="000220C0">
      <w:pPr>
        <w:jc w:val="both"/>
        <w:rPr>
          <w:rFonts w:ascii="Times New Roman" w:hAnsi="Times New Roman" w:cs="Times New Roman"/>
          <w:b/>
          <w:sz w:val="24"/>
          <w:szCs w:val="24"/>
        </w:rPr>
      </w:pPr>
      <w:r w:rsidRPr="00C857E4">
        <w:rPr>
          <w:rFonts w:ascii="Times New Roman" w:hAnsi="Times New Roman" w:cs="Times New Roman"/>
          <w:b/>
          <w:sz w:val="24"/>
          <w:szCs w:val="24"/>
        </w:rPr>
        <w:t>3/ Choix de la population et de l’outil et limites de la recherche</w:t>
      </w:r>
    </w:p>
    <w:p w:rsidR="00812FE4" w:rsidRDefault="000220C0" w:rsidP="000220C0">
      <w:pPr>
        <w:jc w:val="both"/>
        <w:rPr>
          <w:rFonts w:ascii="Times New Roman" w:hAnsi="Times New Roman" w:cs="Times New Roman"/>
          <w:sz w:val="24"/>
          <w:szCs w:val="24"/>
        </w:rPr>
      </w:pPr>
      <w:r w:rsidRPr="000220C0">
        <w:rPr>
          <w:rFonts w:ascii="Times New Roman" w:hAnsi="Times New Roman" w:cs="Times New Roman"/>
          <w:sz w:val="24"/>
          <w:szCs w:val="24"/>
        </w:rPr>
        <w:t>En lien avec l’ARIFTS, nous avons choisi d’observer uniquement les personnes porteuses de Trisomie 21 car c’est une population facilement identifiable et dans notre institution, se sont ces ré</w:t>
      </w:r>
      <w:r w:rsidR="00AD2210">
        <w:rPr>
          <w:rFonts w:ascii="Times New Roman" w:hAnsi="Times New Roman" w:cs="Times New Roman"/>
          <w:sz w:val="24"/>
          <w:szCs w:val="24"/>
        </w:rPr>
        <w:t>sidents qui avaient déjà amorcé</w:t>
      </w:r>
      <w:r w:rsidRPr="000220C0">
        <w:rPr>
          <w:rFonts w:ascii="Times New Roman" w:hAnsi="Times New Roman" w:cs="Times New Roman"/>
          <w:sz w:val="24"/>
          <w:szCs w:val="24"/>
        </w:rPr>
        <w:t xml:space="preserve"> leur vieillissement particulier. </w:t>
      </w:r>
    </w:p>
    <w:p w:rsidR="00812FE4" w:rsidRDefault="000220C0" w:rsidP="000220C0">
      <w:pPr>
        <w:jc w:val="both"/>
        <w:rPr>
          <w:rFonts w:ascii="Times New Roman" w:hAnsi="Times New Roman" w:cs="Times New Roman"/>
          <w:sz w:val="24"/>
          <w:szCs w:val="24"/>
        </w:rPr>
      </w:pPr>
      <w:r w:rsidRPr="000220C0">
        <w:rPr>
          <w:rFonts w:ascii="Times New Roman" w:hAnsi="Times New Roman" w:cs="Times New Roman"/>
          <w:sz w:val="24"/>
          <w:szCs w:val="24"/>
        </w:rPr>
        <w:t xml:space="preserve">Pour le recueil de données, notre choix s’est porté sur la grille d’observation, outil usuel, connu des équipes, afin de recueillir des éléments concrets, fiables, quantifiables et objectifs. </w:t>
      </w:r>
    </w:p>
    <w:p w:rsidR="000F7E0D" w:rsidRDefault="000220C0" w:rsidP="000220C0">
      <w:pPr>
        <w:jc w:val="both"/>
        <w:rPr>
          <w:rFonts w:ascii="Times New Roman" w:hAnsi="Times New Roman" w:cs="Times New Roman"/>
          <w:sz w:val="24"/>
          <w:szCs w:val="24"/>
        </w:rPr>
      </w:pPr>
      <w:r w:rsidRPr="000220C0">
        <w:rPr>
          <w:rFonts w:ascii="Times New Roman" w:hAnsi="Times New Roman" w:cs="Times New Roman"/>
          <w:sz w:val="24"/>
          <w:szCs w:val="24"/>
        </w:rPr>
        <w:t xml:space="preserve">Cette grille a été élaborée pendant plus d’une année, sur la base des faits que nous observions chez les résidents participants : autour de l’autonomie à l’hygiène, vêture, repas, des capacités cognitives, de l’orientation, de l’expression des émotions, de la santé, de l’intérêt aux animations et de l’apparition des troubles du comportement. Cette </w:t>
      </w:r>
      <w:r w:rsidR="000F7E0D">
        <w:rPr>
          <w:rFonts w:ascii="Times New Roman" w:hAnsi="Times New Roman" w:cs="Times New Roman"/>
          <w:sz w:val="24"/>
          <w:szCs w:val="24"/>
        </w:rPr>
        <w:t>grille contient</w:t>
      </w:r>
      <w:r w:rsidRPr="000220C0">
        <w:rPr>
          <w:rFonts w:ascii="Times New Roman" w:hAnsi="Times New Roman" w:cs="Times New Roman"/>
          <w:sz w:val="24"/>
          <w:szCs w:val="24"/>
        </w:rPr>
        <w:t xml:space="preserve"> </w:t>
      </w:r>
      <w:r w:rsidR="008029DC">
        <w:rPr>
          <w:rFonts w:ascii="Times New Roman" w:hAnsi="Times New Roman" w:cs="Times New Roman"/>
          <w:sz w:val="24"/>
          <w:szCs w:val="24"/>
        </w:rPr>
        <w:t xml:space="preserve">85 </w:t>
      </w:r>
      <w:r w:rsidRPr="000220C0">
        <w:rPr>
          <w:rFonts w:ascii="Times New Roman" w:hAnsi="Times New Roman" w:cs="Times New Roman"/>
          <w:sz w:val="24"/>
          <w:szCs w:val="24"/>
        </w:rPr>
        <w:t xml:space="preserve">items observables </w:t>
      </w:r>
      <w:r w:rsidR="000F7E0D">
        <w:rPr>
          <w:rFonts w:ascii="Times New Roman" w:hAnsi="Times New Roman" w:cs="Times New Roman"/>
          <w:sz w:val="24"/>
          <w:szCs w:val="24"/>
        </w:rPr>
        <w:t>auxquels le professionnel peut cocher la case « oui, j’ai observé ce comportement aujourd’hui » / « non je n’ai pas observé ce comportement aujourd’hui</w:t>
      </w:r>
      <w:r w:rsidR="008029DC">
        <w:rPr>
          <w:rFonts w:ascii="Times New Roman" w:hAnsi="Times New Roman" w:cs="Times New Roman"/>
          <w:sz w:val="24"/>
          <w:szCs w:val="24"/>
        </w:rPr>
        <w:t> »</w:t>
      </w:r>
      <w:r w:rsidR="000F7E0D">
        <w:rPr>
          <w:rFonts w:ascii="Times New Roman" w:hAnsi="Times New Roman" w:cs="Times New Roman"/>
          <w:sz w:val="24"/>
          <w:szCs w:val="24"/>
        </w:rPr>
        <w:t xml:space="preserve"> </w:t>
      </w:r>
      <w:r w:rsidR="008029DC">
        <w:rPr>
          <w:rFonts w:ascii="Times New Roman" w:hAnsi="Times New Roman" w:cs="Times New Roman"/>
          <w:sz w:val="24"/>
          <w:szCs w:val="24"/>
        </w:rPr>
        <w:t>et « nombre » afin d’indiquer le nombre de fois où ce comportement a été vu ce jour par ce professionnel. La grille comporte aussi u</w:t>
      </w:r>
      <w:r w:rsidR="000F7E0D">
        <w:rPr>
          <w:rFonts w:ascii="Times New Roman" w:hAnsi="Times New Roman" w:cs="Times New Roman"/>
          <w:sz w:val="24"/>
          <w:szCs w:val="24"/>
        </w:rPr>
        <w:t xml:space="preserve">ne case </w:t>
      </w:r>
      <w:r w:rsidR="00475D26">
        <w:rPr>
          <w:rFonts w:ascii="Times New Roman" w:hAnsi="Times New Roman" w:cs="Times New Roman"/>
          <w:sz w:val="24"/>
          <w:szCs w:val="24"/>
        </w:rPr>
        <w:t>vierge</w:t>
      </w:r>
      <w:r w:rsidR="000F7E0D">
        <w:rPr>
          <w:rFonts w:ascii="Times New Roman" w:hAnsi="Times New Roman" w:cs="Times New Roman"/>
          <w:sz w:val="24"/>
          <w:szCs w:val="24"/>
        </w:rPr>
        <w:t xml:space="preserve"> </w:t>
      </w:r>
      <w:r w:rsidR="008029DC">
        <w:rPr>
          <w:rFonts w:ascii="Times New Roman" w:hAnsi="Times New Roman" w:cs="Times New Roman"/>
          <w:sz w:val="24"/>
          <w:szCs w:val="24"/>
        </w:rPr>
        <w:t xml:space="preserve">pour chaque item observé </w:t>
      </w:r>
      <w:r w:rsidR="000F7E0D">
        <w:rPr>
          <w:rFonts w:ascii="Times New Roman" w:hAnsi="Times New Roman" w:cs="Times New Roman"/>
          <w:sz w:val="24"/>
          <w:szCs w:val="24"/>
        </w:rPr>
        <w:t xml:space="preserve">pour ajouter un </w:t>
      </w:r>
      <w:r w:rsidR="008029DC">
        <w:rPr>
          <w:rFonts w:ascii="Times New Roman" w:hAnsi="Times New Roman" w:cs="Times New Roman"/>
          <w:sz w:val="24"/>
          <w:szCs w:val="24"/>
        </w:rPr>
        <w:t xml:space="preserve">éventuel </w:t>
      </w:r>
      <w:r w:rsidR="000F7E0D">
        <w:rPr>
          <w:rFonts w:ascii="Times New Roman" w:hAnsi="Times New Roman" w:cs="Times New Roman"/>
          <w:sz w:val="24"/>
          <w:szCs w:val="24"/>
        </w:rPr>
        <w:t>commentaire vis-à-vis de cet item. A la fin de la grille, un espace d’expression est laissé libre pour permettre à l’observateur de laisser un commentaire ou une remarque qu’il tient à préciser et qui n’entrait pas dans les espaces d’observation décrits ci-dessus.</w:t>
      </w:r>
    </w:p>
    <w:p w:rsidR="00812FE4" w:rsidRDefault="000F7E0D" w:rsidP="000220C0">
      <w:pPr>
        <w:jc w:val="both"/>
        <w:rPr>
          <w:rFonts w:ascii="Times New Roman" w:hAnsi="Times New Roman" w:cs="Times New Roman"/>
          <w:sz w:val="24"/>
          <w:szCs w:val="24"/>
        </w:rPr>
      </w:pPr>
      <w:r>
        <w:rPr>
          <w:rFonts w:ascii="Times New Roman" w:hAnsi="Times New Roman" w:cs="Times New Roman"/>
          <w:sz w:val="24"/>
          <w:szCs w:val="24"/>
        </w:rPr>
        <w:t xml:space="preserve">Cette grille </w:t>
      </w:r>
      <w:r w:rsidR="000220C0" w:rsidRPr="000220C0">
        <w:rPr>
          <w:rFonts w:ascii="Times New Roman" w:hAnsi="Times New Roman" w:cs="Times New Roman"/>
          <w:sz w:val="24"/>
          <w:szCs w:val="24"/>
        </w:rPr>
        <w:t xml:space="preserve">a été </w:t>
      </w:r>
      <w:r w:rsidR="000220C0">
        <w:rPr>
          <w:rFonts w:ascii="Times New Roman" w:hAnsi="Times New Roman" w:cs="Times New Roman"/>
          <w:sz w:val="24"/>
          <w:szCs w:val="24"/>
        </w:rPr>
        <w:t xml:space="preserve">testée en situation réelle </w:t>
      </w:r>
      <w:r w:rsidR="00812FE4">
        <w:rPr>
          <w:rFonts w:ascii="Times New Roman" w:hAnsi="Times New Roman" w:cs="Times New Roman"/>
          <w:sz w:val="24"/>
          <w:szCs w:val="24"/>
        </w:rPr>
        <w:t>auprès</w:t>
      </w:r>
      <w:r w:rsidR="000220C0">
        <w:rPr>
          <w:rFonts w:ascii="Times New Roman" w:hAnsi="Times New Roman" w:cs="Times New Roman"/>
          <w:sz w:val="24"/>
          <w:szCs w:val="24"/>
        </w:rPr>
        <w:t xml:space="preserve"> d’un résident </w:t>
      </w:r>
      <w:r w:rsidR="00812FE4">
        <w:rPr>
          <w:rFonts w:ascii="Times New Roman" w:hAnsi="Times New Roman" w:cs="Times New Roman"/>
          <w:sz w:val="24"/>
          <w:szCs w:val="24"/>
        </w:rPr>
        <w:t xml:space="preserve">de l’institution, avec son accord et celui de son mandataire judiciaire, </w:t>
      </w:r>
      <w:r w:rsidR="000220C0">
        <w:rPr>
          <w:rFonts w:ascii="Times New Roman" w:hAnsi="Times New Roman" w:cs="Times New Roman"/>
          <w:sz w:val="24"/>
          <w:szCs w:val="24"/>
        </w:rPr>
        <w:t xml:space="preserve">afin d’avoir un retour de l’équipe sur la compréhension et l’utilisation de l’outil. </w:t>
      </w:r>
      <w:r w:rsidR="00034CC0">
        <w:rPr>
          <w:rFonts w:ascii="Times New Roman" w:hAnsi="Times New Roman" w:cs="Times New Roman"/>
          <w:sz w:val="24"/>
          <w:szCs w:val="24"/>
        </w:rPr>
        <w:t>Nous souhaitions observer</w:t>
      </w:r>
      <w:r w:rsidR="00812FE4">
        <w:rPr>
          <w:rFonts w:ascii="Times New Roman" w:hAnsi="Times New Roman" w:cs="Times New Roman"/>
          <w:sz w:val="24"/>
          <w:szCs w:val="24"/>
        </w:rPr>
        <w:t xml:space="preserve"> l’évolution d’un résident sur une année, et afin de ne pas alourdir la charge de travail des équipe</w:t>
      </w:r>
      <w:r>
        <w:rPr>
          <w:rFonts w:ascii="Times New Roman" w:hAnsi="Times New Roman" w:cs="Times New Roman"/>
          <w:sz w:val="24"/>
          <w:szCs w:val="24"/>
        </w:rPr>
        <w:t>s</w:t>
      </w:r>
      <w:r w:rsidR="00812FE4">
        <w:rPr>
          <w:rFonts w:ascii="Times New Roman" w:hAnsi="Times New Roman" w:cs="Times New Roman"/>
          <w:sz w:val="24"/>
          <w:szCs w:val="24"/>
        </w:rPr>
        <w:t xml:space="preserve"> nous avons ainsi </w:t>
      </w:r>
      <w:r w:rsidR="00812FE4" w:rsidRPr="008029DC">
        <w:rPr>
          <w:rFonts w:ascii="Times New Roman" w:hAnsi="Times New Roman" w:cs="Times New Roman"/>
          <w:sz w:val="24"/>
          <w:szCs w:val="24"/>
        </w:rPr>
        <w:t xml:space="preserve">choisi de proposer quatre périodes d’observation d’une durée de 15 jours chacune : une fin </w:t>
      </w:r>
      <w:r w:rsidR="008029DC" w:rsidRPr="008029DC">
        <w:rPr>
          <w:rFonts w:ascii="Times New Roman" w:hAnsi="Times New Roman" w:cs="Times New Roman"/>
          <w:sz w:val="24"/>
          <w:szCs w:val="24"/>
        </w:rPr>
        <w:t>février (du 20/02 au 06/03)</w:t>
      </w:r>
      <w:r w:rsidR="00812FE4" w:rsidRPr="008029DC">
        <w:rPr>
          <w:rFonts w:ascii="Times New Roman" w:hAnsi="Times New Roman" w:cs="Times New Roman"/>
          <w:sz w:val="24"/>
          <w:szCs w:val="24"/>
        </w:rPr>
        <w:t>, une fin mai</w:t>
      </w:r>
      <w:r w:rsidR="008029DC" w:rsidRPr="008029DC">
        <w:rPr>
          <w:rFonts w:ascii="Times New Roman" w:hAnsi="Times New Roman" w:cs="Times New Roman"/>
          <w:sz w:val="24"/>
          <w:szCs w:val="24"/>
        </w:rPr>
        <w:t xml:space="preserve"> (21/06 au 05/06)</w:t>
      </w:r>
      <w:r w:rsidR="00812FE4" w:rsidRPr="008029DC">
        <w:rPr>
          <w:rFonts w:ascii="Times New Roman" w:hAnsi="Times New Roman" w:cs="Times New Roman"/>
          <w:sz w:val="24"/>
          <w:szCs w:val="24"/>
        </w:rPr>
        <w:t xml:space="preserve">, une en septembre </w:t>
      </w:r>
      <w:r w:rsidR="008029DC" w:rsidRPr="008029DC">
        <w:rPr>
          <w:rFonts w:ascii="Times New Roman" w:hAnsi="Times New Roman" w:cs="Times New Roman"/>
          <w:sz w:val="24"/>
          <w:szCs w:val="24"/>
        </w:rPr>
        <w:t xml:space="preserve">(du 03 au 18) et </w:t>
      </w:r>
      <w:r w:rsidR="00812FE4" w:rsidRPr="008029DC">
        <w:rPr>
          <w:rFonts w:ascii="Times New Roman" w:hAnsi="Times New Roman" w:cs="Times New Roman"/>
          <w:sz w:val="24"/>
          <w:szCs w:val="24"/>
        </w:rPr>
        <w:t>une début décembre</w:t>
      </w:r>
      <w:r w:rsidR="008029DC" w:rsidRPr="008029DC">
        <w:rPr>
          <w:rFonts w:ascii="Times New Roman" w:hAnsi="Times New Roman" w:cs="Times New Roman"/>
          <w:sz w:val="24"/>
          <w:szCs w:val="24"/>
        </w:rPr>
        <w:t xml:space="preserve"> (du 03 au 18/12)</w:t>
      </w:r>
      <w:r w:rsidR="00812FE4" w:rsidRPr="008029DC">
        <w:rPr>
          <w:rFonts w:ascii="Times New Roman" w:hAnsi="Times New Roman" w:cs="Times New Roman"/>
          <w:sz w:val="24"/>
          <w:szCs w:val="24"/>
        </w:rPr>
        <w:t>.</w:t>
      </w:r>
    </w:p>
    <w:p w:rsidR="00812FE4" w:rsidRDefault="000220C0" w:rsidP="000220C0">
      <w:pPr>
        <w:jc w:val="both"/>
        <w:rPr>
          <w:rFonts w:ascii="Times New Roman" w:hAnsi="Times New Roman" w:cs="Times New Roman"/>
          <w:sz w:val="24"/>
          <w:szCs w:val="24"/>
        </w:rPr>
      </w:pPr>
      <w:r>
        <w:rPr>
          <w:rFonts w:ascii="Times New Roman" w:hAnsi="Times New Roman" w:cs="Times New Roman"/>
          <w:sz w:val="24"/>
          <w:szCs w:val="24"/>
        </w:rPr>
        <w:t>Après de nombreux réajustement</w:t>
      </w:r>
      <w:r w:rsidR="00812FE4">
        <w:rPr>
          <w:rFonts w:ascii="Times New Roman" w:hAnsi="Times New Roman" w:cs="Times New Roman"/>
          <w:sz w:val="24"/>
          <w:szCs w:val="24"/>
        </w:rPr>
        <w:t>s, cet outil a été validé. Il a alors été proposé à d’autres établissements, dans l’intérêt de la démarche de recherche, afin d’augmenter l’échantillon et de pouvoir observer le vieillissement d’autres personnes porteuse de trisomie 21, dans un autre contexte, avec un autre type d’accompagnement. Nous sommes allés présenter l</w:t>
      </w:r>
      <w:r w:rsidR="000F7E0D">
        <w:rPr>
          <w:rFonts w:ascii="Times New Roman" w:hAnsi="Times New Roman" w:cs="Times New Roman"/>
          <w:sz w:val="24"/>
          <w:szCs w:val="24"/>
        </w:rPr>
        <w:t xml:space="preserve">e but de la recherche, </w:t>
      </w:r>
      <w:r w:rsidR="00812FE4">
        <w:rPr>
          <w:rFonts w:ascii="Times New Roman" w:hAnsi="Times New Roman" w:cs="Times New Roman"/>
          <w:sz w:val="24"/>
          <w:szCs w:val="24"/>
        </w:rPr>
        <w:t>l’outil et les conditions d’observation (périodes précises) aux établissements volontaires et avons cherch</w:t>
      </w:r>
      <w:r w:rsidR="00475D26">
        <w:rPr>
          <w:rFonts w:ascii="Times New Roman" w:hAnsi="Times New Roman" w:cs="Times New Roman"/>
          <w:sz w:val="24"/>
          <w:szCs w:val="24"/>
        </w:rPr>
        <w:t>é</w:t>
      </w:r>
      <w:r w:rsidR="00812FE4">
        <w:rPr>
          <w:rFonts w:ascii="Times New Roman" w:hAnsi="Times New Roman" w:cs="Times New Roman"/>
          <w:sz w:val="24"/>
          <w:szCs w:val="24"/>
        </w:rPr>
        <w:t xml:space="preserve"> l’accord de l’équipe, car sans l’</w:t>
      </w:r>
      <w:r w:rsidR="000F7E0D">
        <w:rPr>
          <w:rFonts w:ascii="Times New Roman" w:hAnsi="Times New Roman" w:cs="Times New Roman"/>
          <w:sz w:val="24"/>
          <w:szCs w:val="24"/>
        </w:rPr>
        <w:t>implication des professionnels de terrain</w:t>
      </w:r>
      <w:r w:rsidR="00812FE4">
        <w:rPr>
          <w:rFonts w:ascii="Times New Roman" w:hAnsi="Times New Roman" w:cs="Times New Roman"/>
          <w:sz w:val="24"/>
          <w:szCs w:val="24"/>
        </w:rPr>
        <w:t>, ce recueil de données ne pouvait pas se faire de façon fiable.</w:t>
      </w:r>
    </w:p>
    <w:p w:rsidR="00812FE4" w:rsidRDefault="00812FE4" w:rsidP="000220C0">
      <w:pPr>
        <w:jc w:val="both"/>
        <w:rPr>
          <w:rFonts w:ascii="Times New Roman" w:hAnsi="Times New Roman" w:cs="Times New Roman"/>
          <w:sz w:val="24"/>
          <w:szCs w:val="24"/>
        </w:rPr>
      </w:pPr>
      <w:r>
        <w:rPr>
          <w:rFonts w:ascii="Times New Roman" w:hAnsi="Times New Roman" w:cs="Times New Roman"/>
          <w:sz w:val="24"/>
          <w:szCs w:val="24"/>
        </w:rPr>
        <w:t xml:space="preserve">Cette grille d’observation a été complétée auprès de </w:t>
      </w:r>
      <w:r w:rsidR="009D1AE6">
        <w:rPr>
          <w:rFonts w:ascii="Times New Roman" w:hAnsi="Times New Roman" w:cs="Times New Roman"/>
          <w:sz w:val="24"/>
          <w:szCs w:val="24"/>
        </w:rPr>
        <w:t>20</w:t>
      </w:r>
      <w:r>
        <w:rPr>
          <w:rFonts w:ascii="Times New Roman" w:hAnsi="Times New Roman" w:cs="Times New Roman"/>
          <w:sz w:val="24"/>
          <w:szCs w:val="24"/>
        </w:rPr>
        <w:t xml:space="preserve"> résidents par </w:t>
      </w:r>
      <w:r w:rsidR="009D1AE6">
        <w:rPr>
          <w:rFonts w:ascii="Times New Roman" w:hAnsi="Times New Roman" w:cs="Times New Roman"/>
          <w:sz w:val="24"/>
          <w:szCs w:val="24"/>
        </w:rPr>
        <w:t>49</w:t>
      </w:r>
      <w:r>
        <w:rPr>
          <w:rFonts w:ascii="Times New Roman" w:hAnsi="Times New Roman" w:cs="Times New Roman"/>
          <w:sz w:val="24"/>
          <w:szCs w:val="24"/>
        </w:rPr>
        <w:t xml:space="preserve"> professionnels. En effet, chaque professionnel au contact d’un résident observé devait compléter une grille, ainsi nous </w:t>
      </w:r>
      <w:r w:rsidR="000F7E0D">
        <w:rPr>
          <w:rFonts w:ascii="Times New Roman" w:hAnsi="Times New Roman" w:cs="Times New Roman"/>
          <w:sz w:val="24"/>
          <w:szCs w:val="24"/>
        </w:rPr>
        <w:t>avons</w:t>
      </w:r>
      <w:r>
        <w:rPr>
          <w:rFonts w:ascii="Times New Roman" w:hAnsi="Times New Roman" w:cs="Times New Roman"/>
          <w:sz w:val="24"/>
          <w:szCs w:val="24"/>
        </w:rPr>
        <w:t xml:space="preserve"> pu </w:t>
      </w:r>
      <w:r w:rsidR="000F7E0D">
        <w:rPr>
          <w:rFonts w:ascii="Times New Roman" w:hAnsi="Times New Roman" w:cs="Times New Roman"/>
          <w:sz w:val="24"/>
          <w:szCs w:val="24"/>
        </w:rPr>
        <w:t>recueillir</w:t>
      </w:r>
      <w:r>
        <w:rPr>
          <w:rFonts w:ascii="Times New Roman" w:hAnsi="Times New Roman" w:cs="Times New Roman"/>
          <w:sz w:val="24"/>
          <w:szCs w:val="24"/>
        </w:rPr>
        <w:t xml:space="preserve"> jusqu’à </w:t>
      </w:r>
      <w:r w:rsidR="000F7E0D">
        <w:rPr>
          <w:rFonts w:ascii="Times New Roman" w:hAnsi="Times New Roman" w:cs="Times New Roman"/>
          <w:sz w:val="24"/>
          <w:szCs w:val="24"/>
        </w:rPr>
        <w:t>7</w:t>
      </w:r>
      <w:r>
        <w:rPr>
          <w:rFonts w:ascii="Times New Roman" w:hAnsi="Times New Roman" w:cs="Times New Roman"/>
          <w:sz w:val="24"/>
          <w:szCs w:val="24"/>
        </w:rPr>
        <w:t xml:space="preserve"> g</w:t>
      </w:r>
      <w:r w:rsidR="00475D26">
        <w:rPr>
          <w:rFonts w:ascii="Times New Roman" w:hAnsi="Times New Roman" w:cs="Times New Roman"/>
          <w:sz w:val="24"/>
          <w:szCs w:val="24"/>
        </w:rPr>
        <w:t>rilles par jour et par résident</w:t>
      </w:r>
      <w:r w:rsidR="000F7E0D">
        <w:rPr>
          <w:rFonts w:ascii="Times New Roman" w:hAnsi="Times New Roman" w:cs="Times New Roman"/>
          <w:sz w:val="24"/>
          <w:szCs w:val="24"/>
        </w:rPr>
        <w:t xml:space="preserve"> (selon les jours et les établissements, deux professionnels le matin, le soir et en journée, un la nuit) pour un total de </w:t>
      </w:r>
      <w:r w:rsidR="0015721F">
        <w:rPr>
          <w:rFonts w:ascii="Times New Roman" w:hAnsi="Times New Roman" w:cs="Times New Roman"/>
          <w:sz w:val="24"/>
          <w:szCs w:val="24"/>
        </w:rPr>
        <w:t>1632</w:t>
      </w:r>
      <w:r w:rsidR="00350229">
        <w:rPr>
          <w:rFonts w:ascii="Times New Roman" w:hAnsi="Times New Roman" w:cs="Times New Roman"/>
          <w:sz w:val="24"/>
          <w:szCs w:val="24"/>
        </w:rPr>
        <w:t xml:space="preserve"> grilles à analyser, toutes personnes confondues.</w:t>
      </w:r>
    </w:p>
    <w:p w:rsidR="00475D26" w:rsidRDefault="00475D26" w:rsidP="000220C0">
      <w:pPr>
        <w:jc w:val="both"/>
        <w:rPr>
          <w:rFonts w:ascii="Times New Roman" w:hAnsi="Times New Roman" w:cs="Times New Roman"/>
          <w:sz w:val="24"/>
          <w:szCs w:val="24"/>
        </w:rPr>
      </w:pPr>
      <w:r>
        <w:rPr>
          <w:rFonts w:ascii="Times New Roman" w:hAnsi="Times New Roman" w:cs="Times New Roman"/>
          <w:sz w:val="24"/>
          <w:szCs w:val="24"/>
        </w:rPr>
        <w:t>Lorsque nous avons récupéré</w:t>
      </w:r>
      <w:r w:rsidR="004158E5">
        <w:rPr>
          <w:rFonts w:ascii="Times New Roman" w:hAnsi="Times New Roman" w:cs="Times New Roman"/>
          <w:sz w:val="24"/>
          <w:szCs w:val="24"/>
        </w:rPr>
        <w:t xml:space="preserve"> les grilles complétées, nous nous sommes confrontés </w:t>
      </w:r>
      <w:r w:rsidR="00023C19">
        <w:rPr>
          <w:rFonts w:ascii="Times New Roman" w:hAnsi="Times New Roman" w:cs="Times New Roman"/>
          <w:sz w:val="24"/>
          <w:szCs w:val="24"/>
        </w:rPr>
        <w:t>à</w:t>
      </w:r>
      <w:r w:rsidR="004158E5">
        <w:rPr>
          <w:rFonts w:ascii="Times New Roman" w:hAnsi="Times New Roman" w:cs="Times New Roman"/>
          <w:sz w:val="24"/>
          <w:szCs w:val="24"/>
        </w:rPr>
        <w:t xml:space="preserve"> </w:t>
      </w:r>
      <w:r>
        <w:rPr>
          <w:rFonts w:ascii="Times New Roman" w:hAnsi="Times New Roman" w:cs="Times New Roman"/>
          <w:sz w:val="24"/>
          <w:szCs w:val="24"/>
        </w:rPr>
        <w:t xml:space="preserve">plusieurs </w:t>
      </w:r>
      <w:r w:rsidR="004158E5">
        <w:rPr>
          <w:rFonts w:ascii="Times New Roman" w:hAnsi="Times New Roman" w:cs="Times New Roman"/>
          <w:sz w:val="24"/>
          <w:szCs w:val="24"/>
        </w:rPr>
        <w:t xml:space="preserve">difficultés. En effet, les grilles étant diffusées informatiquement aux équipes, certaines ont été modifiées, et certains collègues ont été en difficulté avec l’utilisation de l’outil informatique. Un problème d’interprétation des consignes a été rapidement identifié par </w:t>
      </w:r>
      <w:r w:rsidR="00023C19">
        <w:rPr>
          <w:rFonts w:ascii="Times New Roman" w:hAnsi="Times New Roman" w:cs="Times New Roman"/>
          <w:sz w:val="24"/>
          <w:szCs w:val="24"/>
        </w:rPr>
        <w:t>des formulations</w:t>
      </w:r>
      <w:r w:rsidR="004158E5">
        <w:rPr>
          <w:rFonts w:ascii="Times New Roman" w:hAnsi="Times New Roman" w:cs="Times New Roman"/>
          <w:sz w:val="24"/>
          <w:szCs w:val="24"/>
        </w:rPr>
        <w:t xml:space="preserve"> prêtant à confusion et qui n’avaient pas été repérées sur la phase de test. </w:t>
      </w:r>
      <w:r w:rsidR="00023C19">
        <w:rPr>
          <w:rFonts w:ascii="Times New Roman" w:hAnsi="Times New Roman" w:cs="Times New Roman"/>
          <w:sz w:val="24"/>
          <w:szCs w:val="24"/>
        </w:rPr>
        <w:t>Ainsi nous avions des résultats qu’il nous semblait impossible à interpréter, sans avoir connaissance du contexte (nous observions des regain</w:t>
      </w:r>
      <w:r w:rsidR="00F43B15">
        <w:rPr>
          <w:rFonts w:ascii="Times New Roman" w:hAnsi="Times New Roman" w:cs="Times New Roman"/>
          <w:sz w:val="24"/>
          <w:szCs w:val="24"/>
        </w:rPr>
        <w:t>s</w:t>
      </w:r>
      <w:r w:rsidR="00023C19">
        <w:rPr>
          <w:rFonts w:ascii="Times New Roman" w:hAnsi="Times New Roman" w:cs="Times New Roman"/>
          <w:sz w:val="24"/>
          <w:szCs w:val="24"/>
        </w:rPr>
        <w:t xml:space="preserve"> de mémoire, des difficultés sur toutes les sphères observées, puis un </w:t>
      </w:r>
      <w:r w:rsidR="00F43B15">
        <w:rPr>
          <w:rFonts w:ascii="Times New Roman" w:hAnsi="Times New Roman" w:cs="Times New Roman"/>
          <w:sz w:val="24"/>
          <w:szCs w:val="24"/>
        </w:rPr>
        <w:t>rebond que rien, dans les données n’expliquait</w:t>
      </w:r>
      <w:r w:rsidR="00023C19">
        <w:rPr>
          <w:rFonts w:ascii="Times New Roman" w:hAnsi="Times New Roman" w:cs="Times New Roman"/>
          <w:sz w:val="24"/>
          <w:szCs w:val="24"/>
        </w:rPr>
        <w:t xml:space="preserve"> …). </w:t>
      </w:r>
      <w:r w:rsidR="00F43B15">
        <w:rPr>
          <w:rFonts w:ascii="Times New Roman" w:hAnsi="Times New Roman" w:cs="Times New Roman"/>
          <w:sz w:val="24"/>
          <w:szCs w:val="24"/>
        </w:rPr>
        <w:t>Il a fallu,</w:t>
      </w:r>
      <w:r w:rsidR="00034CC0">
        <w:rPr>
          <w:rFonts w:ascii="Times New Roman" w:hAnsi="Times New Roman" w:cs="Times New Roman"/>
          <w:sz w:val="24"/>
          <w:szCs w:val="24"/>
        </w:rPr>
        <w:t xml:space="preserve"> pour les résidents observés dans notre établissement</w:t>
      </w:r>
      <w:r w:rsidR="00F43B15">
        <w:rPr>
          <w:rFonts w:ascii="Times New Roman" w:hAnsi="Times New Roman" w:cs="Times New Roman"/>
          <w:sz w:val="24"/>
          <w:szCs w:val="24"/>
        </w:rPr>
        <w:t>, reprendre les transmissions de l’époque pour appréhender le contexte et voir l’ajustement des accompagnements de l’équipe pour comprendre les résultats obs</w:t>
      </w:r>
      <w:r w:rsidR="00AD2210">
        <w:rPr>
          <w:rFonts w:ascii="Times New Roman" w:hAnsi="Times New Roman" w:cs="Times New Roman"/>
          <w:sz w:val="24"/>
          <w:szCs w:val="24"/>
        </w:rPr>
        <w:t>ervés. Nous n’avions pas accès à</w:t>
      </w:r>
      <w:r w:rsidR="00F43B15">
        <w:rPr>
          <w:rFonts w:ascii="Times New Roman" w:hAnsi="Times New Roman" w:cs="Times New Roman"/>
          <w:sz w:val="24"/>
          <w:szCs w:val="24"/>
        </w:rPr>
        <w:t xml:space="preserve"> ces données sur les autres établissements. </w:t>
      </w:r>
    </w:p>
    <w:p w:rsidR="000220C0" w:rsidRDefault="00023C19" w:rsidP="000220C0">
      <w:pPr>
        <w:jc w:val="both"/>
        <w:rPr>
          <w:rFonts w:ascii="Times New Roman" w:hAnsi="Times New Roman" w:cs="Times New Roman"/>
          <w:sz w:val="24"/>
          <w:szCs w:val="24"/>
        </w:rPr>
      </w:pPr>
      <w:r>
        <w:rPr>
          <w:rFonts w:ascii="Times New Roman" w:hAnsi="Times New Roman" w:cs="Times New Roman"/>
          <w:sz w:val="24"/>
          <w:szCs w:val="24"/>
        </w:rPr>
        <w:t>De plus nous avons noté un désinvestissement des équipes sur la longueur, avec moins de professionnels remplissant des grilles et moins de commentaires sur chaque grille.</w:t>
      </w:r>
    </w:p>
    <w:p w:rsidR="00F43B15" w:rsidRDefault="00F43B15" w:rsidP="000220C0">
      <w:pPr>
        <w:jc w:val="both"/>
        <w:rPr>
          <w:rFonts w:ascii="Times New Roman" w:hAnsi="Times New Roman" w:cs="Times New Roman"/>
          <w:sz w:val="24"/>
          <w:szCs w:val="24"/>
        </w:rPr>
      </w:pPr>
    </w:p>
    <w:p w:rsidR="000220C0" w:rsidRPr="00C857E4" w:rsidRDefault="000220C0" w:rsidP="000220C0">
      <w:pPr>
        <w:jc w:val="both"/>
        <w:rPr>
          <w:rFonts w:ascii="Times New Roman" w:hAnsi="Times New Roman" w:cs="Times New Roman"/>
          <w:b/>
          <w:sz w:val="24"/>
          <w:szCs w:val="24"/>
        </w:rPr>
      </w:pPr>
      <w:r w:rsidRPr="00C857E4">
        <w:rPr>
          <w:rFonts w:ascii="Times New Roman" w:hAnsi="Times New Roman" w:cs="Times New Roman"/>
          <w:b/>
          <w:sz w:val="24"/>
          <w:szCs w:val="24"/>
        </w:rPr>
        <w:t>4/ Résultats</w:t>
      </w:r>
    </w:p>
    <w:p w:rsidR="00CA0C2C" w:rsidRPr="00CA0C2C" w:rsidRDefault="00CA0C2C" w:rsidP="00444EFE">
      <w:pPr>
        <w:jc w:val="both"/>
        <w:rPr>
          <w:rFonts w:ascii="Times New Roman" w:hAnsi="Times New Roman" w:cs="Times New Roman"/>
          <w:b/>
          <w:sz w:val="24"/>
          <w:szCs w:val="24"/>
        </w:rPr>
      </w:pPr>
      <w:r w:rsidRPr="00CA0C2C">
        <w:rPr>
          <w:rFonts w:ascii="Times New Roman" w:hAnsi="Times New Roman" w:cs="Times New Roman"/>
          <w:b/>
          <w:sz w:val="24"/>
          <w:szCs w:val="24"/>
        </w:rPr>
        <w:t>4.1 Identification de quatre périodes</w:t>
      </w:r>
    </w:p>
    <w:p w:rsidR="00B9432E" w:rsidRDefault="00B9432E" w:rsidP="00B9432E">
      <w:pPr>
        <w:jc w:val="both"/>
        <w:rPr>
          <w:rFonts w:ascii="Times New Roman" w:hAnsi="Times New Roman" w:cs="Times New Roman"/>
          <w:sz w:val="24"/>
          <w:szCs w:val="24"/>
        </w:rPr>
      </w:pPr>
      <w:r>
        <w:rPr>
          <w:rFonts w:ascii="Times New Roman" w:hAnsi="Times New Roman" w:cs="Times New Roman"/>
          <w:sz w:val="24"/>
          <w:szCs w:val="24"/>
        </w:rPr>
        <w:t>Haxby (1989) laissait</w:t>
      </w:r>
      <w:r w:rsidRPr="0090419E">
        <w:rPr>
          <w:rFonts w:ascii="Times New Roman" w:hAnsi="Times New Roman" w:cs="Times New Roman"/>
          <w:sz w:val="24"/>
          <w:szCs w:val="24"/>
        </w:rPr>
        <w:t xml:space="preserve"> suggérer l'existence de deux stades dans le déclin cognitif des personnes trisomiq</w:t>
      </w:r>
      <w:r>
        <w:rPr>
          <w:rFonts w:ascii="Times New Roman" w:hAnsi="Times New Roman" w:cs="Times New Roman"/>
          <w:sz w:val="24"/>
          <w:szCs w:val="24"/>
        </w:rPr>
        <w:t>ues 21 adultes les plus âgées. Un</w:t>
      </w:r>
      <w:r w:rsidRPr="0090419E">
        <w:rPr>
          <w:rFonts w:ascii="Times New Roman" w:hAnsi="Times New Roman" w:cs="Times New Roman"/>
          <w:sz w:val="24"/>
          <w:szCs w:val="24"/>
        </w:rPr>
        <w:t xml:space="preserve"> premier </w:t>
      </w:r>
      <w:r>
        <w:rPr>
          <w:rFonts w:ascii="Times New Roman" w:hAnsi="Times New Roman" w:cs="Times New Roman"/>
          <w:sz w:val="24"/>
          <w:szCs w:val="24"/>
        </w:rPr>
        <w:t xml:space="preserve">qui </w:t>
      </w:r>
      <w:r w:rsidRPr="0090419E">
        <w:rPr>
          <w:rFonts w:ascii="Times New Roman" w:hAnsi="Times New Roman" w:cs="Times New Roman"/>
          <w:sz w:val="24"/>
          <w:szCs w:val="24"/>
        </w:rPr>
        <w:t xml:space="preserve">correspondrait à un déclin des </w:t>
      </w:r>
      <w:r>
        <w:rPr>
          <w:rFonts w:ascii="Times New Roman" w:hAnsi="Times New Roman" w:cs="Times New Roman"/>
          <w:sz w:val="24"/>
          <w:szCs w:val="24"/>
        </w:rPr>
        <w:t xml:space="preserve">performances cognitives et un </w:t>
      </w:r>
      <w:r w:rsidRPr="0090419E">
        <w:rPr>
          <w:rFonts w:ascii="Times New Roman" w:hAnsi="Times New Roman" w:cs="Times New Roman"/>
          <w:sz w:val="24"/>
          <w:szCs w:val="24"/>
        </w:rPr>
        <w:t>second à une per</w:t>
      </w:r>
      <w:r>
        <w:rPr>
          <w:rFonts w:ascii="Times New Roman" w:hAnsi="Times New Roman" w:cs="Times New Roman"/>
          <w:sz w:val="24"/>
          <w:szCs w:val="24"/>
        </w:rPr>
        <w:t>te des comportements sur-appris</w:t>
      </w:r>
      <w:r w:rsidRPr="0090419E">
        <w:rPr>
          <w:rFonts w:ascii="Times New Roman" w:hAnsi="Times New Roman" w:cs="Times New Roman"/>
          <w:sz w:val="24"/>
          <w:szCs w:val="24"/>
        </w:rPr>
        <w:t xml:space="preserve">. </w:t>
      </w:r>
    </w:p>
    <w:p w:rsidR="00F43B15" w:rsidRDefault="00F43B15" w:rsidP="00444EFE">
      <w:pPr>
        <w:jc w:val="both"/>
        <w:rPr>
          <w:rFonts w:ascii="Times New Roman" w:hAnsi="Times New Roman" w:cs="Times New Roman"/>
          <w:sz w:val="24"/>
          <w:szCs w:val="24"/>
        </w:rPr>
      </w:pPr>
      <w:r>
        <w:rPr>
          <w:rFonts w:ascii="Times New Roman" w:hAnsi="Times New Roman" w:cs="Times New Roman"/>
          <w:sz w:val="24"/>
          <w:szCs w:val="24"/>
        </w:rPr>
        <w:t>A l’issue de ces phases d’</w:t>
      </w:r>
      <w:r w:rsidR="00103568">
        <w:rPr>
          <w:rFonts w:ascii="Times New Roman" w:hAnsi="Times New Roman" w:cs="Times New Roman"/>
          <w:sz w:val="24"/>
          <w:szCs w:val="24"/>
        </w:rPr>
        <w:t>enquêtes</w:t>
      </w:r>
      <w:r>
        <w:rPr>
          <w:rFonts w:ascii="Times New Roman" w:hAnsi="Times New Roman" w:cs="Times New Roman"/>
          <w:sz w:val="24"/>
          <w:szCs w:val="24"/>
        </w:rPr>
        <w:t xml:space="preserve"> et du dépouillement de ces observations, nous pouvons mettre en </w:t>
      </w:r>
      <w:r w:rsidR="00103568">
        <w:rPr>
          <w:rFonts w:ascii="Times New Roman" w:hAnsi="Times New Roman" w:cs="Times New Roman"/>
          <w:sz w:val="24"/>
          <w:szCs w:val="24"/>
        </w:rPr>
        <w:t>évidence</w:t>
      </w:r>
      <w:r>
        <w:rPr>
          <w:rFonts w:ascii="Times New Roman" w:hAnsi="Times New Roman" w:cs="Times New Roman"/>
          <w:sz w:val="24"/>
          <w:szCs w:val="24"/>
        </w:rPr>
        <w:t xml:space="preserve"> quatre périodes évolutives et chronologiques qui marquent </w:t>
      </w:r>
      <w:r w:rsidR="00103568">
        <w:rPr>
          <w:rFonts w:ascii="Times New Roman" w:hAnsi="Times New Roman" w:cs="Times New Roman"/>
          <w:sz w:val="24"/>
          <w:szCs w:val="24"/>
        </w:rPr>
        <w:t>le vieillissement</w:t>
      </w:r>
      <w:r>
        <w:rPr>
          <w:rFonts w:ascii="Times New Roman" w:hAnsi="Times New Roman" w:cs="Times New Roman"/>
          <w:sz w:val="24"/>
          <w:szCs w:val="24"/>
        </w:rPr>
        <w:t xml:space="preserve"> des personnes porteuses de trisomie 21, illustrées dans le schéma ci-dessous.</w:t>
      </w:r>
    </w:p>
    <w:p w:rsidR="00B9432E" w:rsidRDefault="00B9432E" w:rsidP="00444EFE">
      <w:pPr>
        <w:jc w:val="both"/>
        <w:rPr>
          <w:rFonts w:ascii="Times New Roman" w:hAnsi="Times New Roman" w:cs="Times New Roman"/>
          <w:sz w:val="24"/>
          <w:szCs w:val="24"/>
        </w:rPr>
      </w:pPr>
      <w:r>
        <w:rPr>
          <w:rFonts w:ascii="Times New Roman" w:hAnsi="Times New Roman" w:cs="Times New Roman"/>
          <w:sz w:val="24"/>
          <w:szCs w:val="24"/>
        </w:rPr>
        <w:t>Les phases décrites par Haxby (1989) se retrouvent dans les période 1 et 2.</w:t>
      </w:r>
    </w:p>
    <w:p w:rsidR="00F43B15" w:rsidRDefault="00103568" w:rsidP="0010356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43B15">
        <w:rPr>
          <w:rFonts w:ascii="Times New Roman" w:hAnsi="Times New Roman" w:cs="Times New Roman"/>
          <w:sz w:val="24"/>
          <w:szCs w:val="24"/>
        </w:rPr>
        <w:t xml:space="preserve">Schéma </w:t>
      </w:r>
      <w:r w:rsidR="00636289">
        <w:rPr>
          <w:rFonts w:ascii="Times New Roman" w:hAnsi="Times New Roman" w:cs="Times New Roman"/>
          <w:sz w:val="24"/>
          <w:szCs w:val="24"/>
        </w:rPr>
        <w:t xml:space="preserve">1 : Identification de quatre périodes évolutives et </w:t>
      </w:r>
      <w:r w:rsidR="00475D26">
        <w:rPr>
          <w:rFonts w:ascii="Times New Roman" w:hAnsi="Times New Roman" w:cs="Times New Roman"/>
          <w:sz w:val="24"/>
          <w:szCs w:val="24"/>
        </w:rPr>
        <w:t>chronologiques</w:t>
      </w:r>
      <w:r>
        <w:rPr>
          <w:rFonts w:ascii="Times New Roman" w:hAnsi="Times New Roman" w:cs="Times New Roman"/>
          <w:sz w:val="24"/>
          <w:szCs w:val="24"/>
        </w:rPr>
        <w:t>]</w:t>
      </w:r>
    </w:p>
    <w:p w:rsidR="00F43B15" w:rsidRDefault="00103568" w:rsidP="00444EFE">
      <w:pPr>
        <w:jc w:val="both"/>
        <w:rPr>
          <w:rFonts w:ascii="Times New Roman" w:hAnsi="Times New Roman" w:cs="Times New Roman"/>
          <w:sz w:val="24"/>
          <w:szCs w:val="24"/>
        </w:rPr>
      </w:pPr>
      <w:r>
        <w:rPr>
          <w:rFonts w:ascii="Times New Roman" w:hAnsi="Times New Roman" w:cs="Times New Roman"/>
          <w:sz w:val="24"/>
          <w:szCs w:val="24"/>
        </w:rPr>
        <w:t>La première période qui apparait est celle des troubles</w:t>
      </w:r>
      <w:r w:rsidR="00636289">
        <w:rPr>
          <w:rFonts w:ascii="Times New Roman" w:hAnsi="Times New Roman" w:cs="Times New Roman"/>
          <w:sz w:val="24"/>
          <w:szCs w:val="24"/>
        </w:rPr>
        <w:t xml:space="preserve"> (période 1)</w:t>
      </w:r>
      <w:r>
        <w:rPr>
          <w:rFonts w:ascii="Times New Roman" w:hAnsi="Times New Roman" w:cs="Times New Roman"/>
          <w:sz w:val="24"/>
          <w:szCs w:val="24"/>
        </w:rPr>
        <w:t>. En effet nous observons l’</w:t>
      </w:r>
      <w:r w:rsidR="00636289">
        <w:rPr>
          <w:rFonts w:ascii="Times New Roman" w:hAnsi="Times New Roman" w:cs="Times New Roman"/>
          <w:sz w:val="24"/>
          <w:szCs w:val="24"/>
        </w:rPr>
        <w:t xml:space="preserve">apparition des premiers oublis, d’une fatigue plus globale, d’un ralentissement généralisé, </w:t>
      </w:r>
      <w:r>
        <w:rPr>
          <w:rFonts w:ascii="Times New Roman" w:hAnsi="Times New Roman" w:cs="Times New Roman"/>
          <w:sz w:val="24"/>
          <w:szCs w:val="24"/>
        </w:rPr>
        <w:t xml:space="preserve">des premiers comportements étonnants, par rapport à ce que la personne pouvait faire auparavant, comme par exemple faire deux fois la même action, saluer plusieurs fois, mettre le sachet de thé dans le jus d’orange… </w:t>
      </w:r>
    </w:p>
    <w:p w:rsidR="00103568" w:rsidRDefault="00636289" w:rsidP="00444EFE">
      <w:pPr>
        <w:jc w:val="both"/>
        <w:rPr>
          <w:rFonts w:ascii="Times New Roman" w:hAnsi="Times New Roman" w:cs="Times New Roman"/>
          <w:sz w:val="24"/>
          <w:szCs w:val="24"/>
        </w:rPr>
      </w:pPr>
      <w:r>
        <w:rPr>
          <w:rFonts w:ascii="Times New Roman" w:hAnsi="Times New Roman" w:cs="Times New Roman"/>
          <w:sz w:val="24"/>
          <w:szCs w:val="24"/>
        </w:rPr>
        <w:t>La seconde période est celle de l’équilibre précaire et fluctuant (période 2). L’équipe, par son béquillage permet une compensation des pertes. Durant cette période, le résident semble avoir trouv</w:t>
      </w:r>
      <w:r w:rsidR="00475D26">
        <w:rPr>
          <w:rFonts w:ascii="Times New Roman" w:hAnsi="Times New Roman" w:cs="Times New Roman"/>
          <w:sz w:val="24"/>
          <w:szCs w:val="24"/>
        </w:rPr>
        <w:t>é</w:t>
      </w:r>
      <w:r>
        <w:rPr>
          <w:rFonts w:ascii="Times New Roman" w:hAnsi="Times New Roman" w:cs="Times New Roman"/>
          <w:sz w:val="24"/>
          <w:szCs w:val="24"/>
        </w:rPr>
        <w:t xml:space="preserve"> un nouvel état d’équilibre, qui évolue en fonction des jours, jusqu’à ne plus être adapté. Le résident montre alors une nouvelle période de trouble (période 1) qui pourra, de façon cyclique aboutir sur une nouvelle période d’équilibre précaire et fluctuant. Progressivement, nous observons un repli par rapport à l’environnement et aux relation</w:t>
      </w:r>
      <w:r w:rsidR="00AD2210">
        <w:rPr>
          <w:rFonts w:ascii="Times New Roman" w:hAnsi="Times New Roman" w:cs="Times New Roman"/>
          <w:sz w:val="24"/>
          <w:szCs w:val="24"/>
        </w:rPr>
        <w:t>s</w:t>
      </w:r>
      <w:r>
        <w:rPr>
          <w:rFonts w:ascii="Times New Roman" w:hAnsi="Times New Roman" w:cs="Times New Roman"/>
          <w:sz w:val="24"/>
          <w:szCs w:val="24"/>
        </w:rPr>
        <w:t xml:space="preserve"> sociales conduisant le résident à la troisième période.</w:t>
      </w:r>
    </w:p>
    <w:p w:rsidR="00636289" w:rsidRDefault="00636289" w:rsidP="00444EFE">
      <w:pPr>
        <w:jc w:val="both"/>
        <w:rPr>
          <w:rFonts w:ascii="Times New Roman" w:hAnsi="Times New Roman" w:cs="Times New Roman"/>
          <w:sz w:val="24"/>
          <w:szCs w:val="24"/>
        </w:rPr>
      </w:pPr>
      <w:r>
        <w:rPr>
          <w:rFonts w:ascii="Times New Roman" w:hAnsi="Times New Roman" w:cs="Times New Roman"/>
          <w:sz w:val="24"/>
          <w:szCs w:val="24"/>
        </w:rPr>
        <w:t xml:space="preserve">La troisième période est celle du retrait social où la déambulation peut apparaitre et ou les émotions sont vécues </w:t>
      </w:r>
      <w:r w:rsidR="00034CC0">
        <w:rPr>
          <w:rFonts w:ascii="Times New Roman" w:hAnsi="Times New Roman" w:cs="Times New Roman"/>
          <w:sz w:val="24"/>
          <w:szCs w:val="24"/>
        </w:rPr>
        <w:t>différemment</w:t>
      </w:r>
      <w:r>
        <w:rPr>
          <w:rFonts w:ascii="Times New Roman" w:hAnsi="Times New Roman" w:cs="Times New Roman"/>
          <w:sz w:val="24"/>
          <w:szCs w:val="24"/>
        </w:rPr>
        <w:t>.</w:t>
      </w:r>
    </w:p>
    <w:p w:rsidR="00CA0C2C" w:rsidRDefault="00CA0C2C" w:rsidP="00444EFE">
      <w:pPr>
        <w:jc w:val="both"/>
        <w:rPr>
          <w:rFonts w:ascii="Times New Roman" w:hAnsi="Times New Roman" w:cs="Times New Roman"/>
          <w:sz w:val="24"/>
          <w:szCs w:val="24"/>
        </w:rPr>
      </w:pPr>
      <w:r>
        <w:rPr>
          <w:rFonts w:ascii="Times New Roman" w:hAnsi="Times New Roman" w:cs="Times New Roman"/>
          <w:sz w:val="24"/>
          <w:szCs w:val="24"/>
        </w:rPr>
        <w:t>Puis, arrive la période des soins de confort (période 4) où la personne n’</w:t>
      </w:r>
      <w:r w:rsidR="00034CC0">
        <w:rPr>
          <w:rFonts w:ascii="Times New Roman" w:hAnsi="Times New Roman" w:cs="Times New Roman"/>
          <w:sz w:val="24"/>
          <w:szCs w:val="24"/>
        </w:rPr>
        <w:t>interagit</w:t>
      </w:r>
      <w:r>
        <w:rPr>
          <w:rFonts w:ascii="Times New Roman" w:hAnsi="Times New Roman" w:cs="Times New Roman"/>
          <w:sz w:val="24"/>
          <w:szCs w:val="24"/>
        </w:rPr>
        <w:t xml:space="preserve"> plus ou par </w:t>
      </w:r>
      <w:r w:rsidR="00034CC0">
        <w:rPr>
          <w:rFonts w:ascii="Times New Roman" w:hAnsi="Times New Roman" w:cs="Times New Roman"/>
          <w:sz w:val="24"/>
          <w:szCs w:val="24"/>
        </w:rPr>
        <w:t>intermittence</w:t>
      </w:r>
      <w:r>
        <w:rPr>
          <w:rFonts w:ascii="Times New Roman" w:hAnsi="Times New Roman" w:cs="Times New Roman"/>
          <w:sz w:val="24"/>
          <w:szCs w:val="24"/>
        </w:rPr>
        <w:t xml:space="preserve"> avec son env</w:t>
      </w:r>
      <w:r w:rsidR="00AD2210">
        <w:rPr>
          <w:rFonts w:ascii="Times New Roman" w:hAnsi="Times New Roman" w:cs="Times New Roman"/>
          <w:sz w:val="24"/>
          <w:szCs w:val="24"/>
        </w:rPr>
        <w:t>ironnement. C’est une période où</w:t>
      </w:r>
      <w:r>
        <w:rPr>
          <w:rFonts w:ascii="Times New Roman" w:hAnsi="Times New Roman" w:cs="Times New Roman"/>
          <w:sz w:val="24"/>
          <w:szCs w:val="24"/>
        </w:rPr>
        <w:t xml:space="preserve"> le résident est globalement immobile, alité ou en fauteuil.</w:t>
      </w:r>
    </w:p>
    <w:p w:rsidR="00034CC0" w:rsidRDefault="00034CC0" w:rsidP="00444EFE">
      <w:pPr>
        <w:jc w:val="both"/>
        <w:rPr>
          <w:rFonts w:ascii="Times New Roman" w:hAnsi="Times New Roman" w:cs="Times New Roman"/>
          <w:b/>
          <w:sz w:val="24"/>
          <w:szCs w:val="24"/>
        </w:rPr>
      </w:pPr>
    </w:p>
    <w:p w:rsidR="00CA0C2C" w:rsidRPr="00CA0C2C" w:rsidRDefault="00CA0C2C" w:rsidP="00444EFE">
      <w:pPr>
        <w:jc w:val="both"/>
        <w:rPr>
          <w:rFonts w:ascii="Times New Roman" w:hAnsi="Times New Roman" w:cs="Times New Roman"/>
          <w:b/>
          <w:sz w:val="24"/>
          <w:szCs w:val="24"/>
        </w:rPr>
      </w:pPr>
      <w:r w:rsidRPr="00CA0C2C">
        <w:rPr>
          <w:rFonts w:ascii="Times New Roman" w:hAnsi="Times New Roman" w:cs="Times New Roman"/>
          <w:b/>
          <w:sz w:val="24"/>
          <w:szCs w:val="24"/>
        </w:rPr>
        <w:t>4.2 Accompagnement des périodes et des passages</w:t>
      </w:r>
    </w:p>
    <w:p w:rsidR="00CA0C2C" w:rsidRDefault="00CA0C2C" w:rsidP="00444EFE">
      <w:pPr>
        <w:jc w:val="both"/>
        <w:rPr>
          <w:rFonts w:ascii="Times New Roman" w:hAnsi="Times New Roman" w:cs="Times New Roman"/>
          <w:sz w:val="24"/>
          <w:szCs w:val="24"/>
        </w:rPr>
      </w:pPr>
      <w:r>
        <w:rPr>
          <w:rFonts w:ascii="Times New Roman" w:hAnsi="Times New Roman" w:cs="Times New Roman"/>
          <w:sz w:val="24"/>
          <w:szCs w:val="24"/>
        </w:rPr>
        <w:t xml:space="preserve">Ces quatre périodes et </w:t>
      </w:r>
      <w:r w:rsidR="009B19C6">
        <w:rPr>
          <w:rFonts w:ascii="Times New Roman" w:hAnsi="Times New Roman" w:cs="Times New Roman"/>
          <w:sz w:val="24"/>
          <w:szCs w:val="24"/>
        </w:rPr>
        <w:t>leurs passages</w:t>
      </w:r>
      <w:r>
        <w:rPr>
          <w:rFonts w:ascii="Times New Roman" w:hAnsi="Times New Roman" w:cs="Times New Roman"/>
          <w:sz w:val="24"/>
          <w:szCs w:val="24"/>
        </w:rPr>
        <w:t xml:space="preserve"> sont accompagnées par les professionnels selon le schéma 2.</w:t>
      </w:r>
    </w:p>
    <w:p w:rsidR="00636289" w:rsidRDefault="00CA0C2C" w:rsidP="00444EFE">
      <w:pPr>
        <w:jc w:val="both"/>
        <w:rPr>
          <w:rFonts w:ascii="Times New Roman" w:hAnsi="Times New Roman" w:cs="Times New Roman"/>
          <w:sz w:val="24"/>
          <w:szCs w:val="24"/>
        </w:rPr>
      </w:pPr>
      <w:r>
        <w:rPr>
          <w:rFonts w:ascii="Times New Roman" w:hAnsi="Times New Roman" w:cs="Times New Roman"/>
          <w:sz w:val="24"/>
          <w:szCs w:val="24"/>
        </w:rPr>
        <w:t xml:space="preserve">[Schéma 2 : Accompagnement des périodes et des passages] </w:t>
      </w:r>
    </w:p>
    <w:p w:rsidR="00B32A56" w:rsidRDefault="009B19C6" w:rsidP="009B19C6">
      <w:pPr>
        <w:jc w:val="both"/>
        <w:rPr>
          <w:rFonts w:ascii="Times New Roman" w:hAnsi="Times New Roman" w:cs="Times New Roman"/>
          <w:sz w:val="24"/>
          <w:szCs w:val="24"/>
        </w:rPr>
      </w:pPr>
      <w:r>
        <w:rPr>
          <w:rFonts w:ascii="Times New Roman" w:hAnsi="Times New Roman" w:cs="Times New Roman"/>
          <w:sz w:val="24"/>
          <w:szCs w:val="24"/>
        </w:rPr>
        <w:t xml:space="preserve">L’apparition de la première période est déroutante pour les équipes qui </w:t>
      </w:r>
      <w:r w:rsidR="00636289">
        <w:rPr>
          <w:rFonts w:ascii="Times New Roman" w:hAnsi="Times New Roman" w:cs="Times New Roman"/>
          <w:sz w:val="24"/>
          <w:szCs w:val="24"/>
        </w:rPr>
        <w:t>commence</w:t>
      </w:r>
      <w:r>
        <w:rPr>
          <w:rFonts w:ascii="Times New Roman" w:hAnsi="Times New Roman" w:cs="Times New Roman"/>
          <w:sz w:val="24"/>
          <w:szCs w:val="24"/>
        </w:rPr>
        <w:t>nt</w:t>
      </w:r>
      <w:r w:rsidR="00636289">
        <w:rPr>
          <w:rFonts w:ascii="Times New Roman" w:hAnsi="Times New Roman" w:cs="Times New Roman"/>
          <w:sz w:val="24"/>
          <w:szCs w:val="24"/>
        </w:rPr>
        <w:t xml:space="preserve"> alors à se questionner sur cette évolution, mais l’accompagnement reste le même</w:t>
      </w:r>
      <w:r w:rsidR="00B32A56">
        <w:rPr>
          <w:rFonts w:ascii="Times New Roman" w:hAnsi="Times New Roman" w:cs="Times New Roman"/>
          <w:sz w:val="24"/>
          <w:szCs w:val="24"/>
        </w:rPr>
        <w:t xml:space="preserve"> (</w:t>
      </w:r>
      <w:r w:rsidR="000A739A">
        <w:rPr>
          <w:rFonts w:ascii="Times New Roman" w:hAnsi="Times New Roman" w:cs="Times New Roman"/>
          <w:sz w:val="24"/>
          <w:szCs w:val="24"/>
        </w:rPr>
        <w:t>flèche 1)</w:t>
      </w:r>
      <w:r w:rsidR="00636289">
        <w:rPr>
          <w:rFonts w:ascii="Times New Roman" w:hAnsi="Times New Roman" w:cs="Times New Roman"/>
          <w:sz w:val="24"/>
          <w:szCs w:val="24"/>
        </w:rPr>
        <w:t xml:space="preserve">, en lien avec le Projet d’Accompagnement Personnalisé du résident : la stimulation </w:t>
      </w:r>
      <w:r w:rsidR="00B32A56">
        <w:rPr>
          <w:rFonts w:ascii="Times New Roman" w:hAnsi="Times New Roman" w:cs="Times New Roman"/>
          <w:sz w:val="24"/>
          <w:szCs w:val="24"/>
        </w:rPr>
        <w:t xml:space="preserve">est maintenue </w:t>
      </w:r>
      <w:r w:rsidR="00636289">
        <w:rPr>
          <w:rFonts w:ascii="Times New Roman" w:hAnsi="Times New Roman" w:cs="Times New Roman"/>
          <w:sz w:val="24"/>
          <w:szCs w:val="24"/>
        </w:rPr>
        <w:t xml:space="preserve">et </w:t>
      </w:r>
      <w:r w:rsidR="00B32A56">
        <w:rPr>
          <w:rFonts w:ascii="Times New Roman" w:hAnsi="Times New Roman" w:cs="Times New Roman"/>
          <w:sz w:val="24"/>
          <w:szCs w:val="24"/>
        </w:rPr>
        <w:t>les capacités du résident sont souvent parlées en ces termes :</w:t>
      </w:r>
      <w:r w:rsidR="00636289">
        <w:rPr>
          <w:rFonts w:ascii="Times New Roman" w:hAnsi="Times New Roman" w:cs="Times New Roman"/>
          <w:sz w:val="24"/>
          <w:szCs w:val="24"/>
        </w:rPr>
        <w:t xml:space="preserve"> « il le faisait avant, il sait le faire, il peut le faire encore, d’ailleurs, ce matin, ça </w:t>
      </w:r>
      <w:r>
        <w:rPr>
          <w:rFonts w:ascii="Times New Roman" w:hAnsi="Times New Roman" w:cs="Times New Roman"/>
          <w:sz w:val="24"/>
          <w:szCs w:val="24"/>
        </w:rPr>
        <w:t>s’est</w:t>
      </w:r>
      <w:r w:rsidR="00636289">
        <w:rPr>
          <w:rFonts w:ascii="Times New Roman" w:hAnsi="Times New Roman" w:cs="Times New Roman"/>
          <w:sz w:val="24"/>
          <w:szCs w:val="24"/>
        </w:rPr>
        <w:t xml:space="preserve"> bien passé ».</w:t>
      </w:r>
      <w:r>
        <w:rPr>
          <w:rFonts w:ascii="Times New Roman" w:hAnsi="Times New Roman" w:cs="Times New Roman"/>
          <w:sz w:val="24"/>
          <w:szCs w:val="24"/>
        </w:rPr>
        <w:t xml:space="preserve"> D’autant plus que le résident reste actif et interagit avec son environnement. </w:t>
      </w:r>
    </w:p>
    <w:p w:rsidR="000A739A" w:rsidRDefault="00B32A56" w:rsidP="009B19C6">
      <w:pPr>
        <w:jc w:val="both"/>
        <w:rPr>
          <w:rFonts w:ascii="Times New Roman" w:hAnsi="Times New Roman" w:cs="Times New Roman"/>
          <w:sz w:val="24"/>
          <w:szCs w:val="24"/>
        </w:rPr>
      </w:pPr>
      <w:r>
        <w:rPr>
          <w:rFonts w:ascii="Times New Roman" w:hAnsi="Times New Roman" w:cs="Times New Roman"/>
          <w:sz w:val="24"/>
          <w:szCs w:val="24"/>
        </w:rPr>
        <w:t>Dans cette situation, n</w:t>
      </w:r>
      <w:r w:rsidR="009B19C6">
        <w:rPr>
          <w:rFonts w:ascii="Times New Roman" w:hAnsi="Times New Roman" w:cs="Times New Roman"/>
          <w:sz w:val="24"/>
          <w:szCs w:val="24"/>
        </w:rPr>
        <w:t xml:space="preserve">ous observons alors une majoration des troubles </w:t>
      </w:r>
      <w:r w:rsidR="000A739A">
        <w:rPr>
          <w:rFonts w:ascii="Times New Roman" w:hAnsi="Times New Roman" w:cs="Times New Roman"/>
          <w:sz w:val="24"/>
          <w:szCs w:val="24"/>
        </w:rPr>
        <w:t xml:space="preserve">(flèche 2) </w:t>
      </w:r>
      <w:r w:rsidR="009B19C6">
        <w:rPr>
          <w:rFonts w:ascii="Times New Roman" w:hAnsi="Times New Roman" w:cs="Times New Roman"/>
          <w:sz w:val="24"/>
          <w:szCs w:val="24"/>
        </w:rPr>
        <w:t>et l’apparition</w:t>
      </w:r>
      <w:r w:rsidR="000A739A">
        <w:rPr>
          <w:rFonts w:ascii="Times New Roman" w:hAnsi="Times New Roman" w:cs="Times New Roman"/>
          <w:sz w:val="24"/>
          <w:szCs w:val="24"/>
        </w:rPr>
        <w:t> :</w:t>
      </w:r>
    </w:p>
    <w:p w:rsidR="000A739A" w:rsidRPr="000A739A" w:rsidRDefault="000A739A" w:rsidP="000A739A">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D’un</w:t>
      </w:r>
      <w:r w:rsidR="009B19C6" w:rsidRPr="000A739A">
        <w:rPr>
          <w:rFonts w:ascii="Times New Roman" w:hAnsi="Times New Roman" w:cs="Times New Roman"/>
          <w:sz w:val="24"/>
          <w:szCs w:val="24"/>
        </w:rPr>
        <w:t xml:space="preserve">e certaine fatigue : petits pas, lenteur de la démarche, pauses et </w:t>
      </w:r>
      <w:r w:rsidR="008C70A0" w:rsidRPr="000A739A">
        <w:rPr>
          <w:rFonts w:ascii="Times New Roman" w:hAnsi="Times New Roman" w:cs="Times New Roman"/>
          <w:sz w:val="24"/>
          <w:szCs w:val="24"/>
        </w:rPr>
        <w:t>augmentation</w:t>
      </w:r>
      <w:r w:rsidR="009B19C6" w:rsidRPr="000A739A">
        <w:rPr>
          <w:rFonts w:ascii="Times New Roman" w:hAnsi="Times New Roman" w:cs="Times New Roman"/>
          <w:sz w:val="24"/>
          <w:szCs w:val="24"/>
        </w:rPr>
        <w:t xml:space="preserve"> des </w:t>
      </w:r>
      <w:r w:rsidR="008C70A0" w:rsidRPr="000A739A">
        <w:rPr>
          <w:rFonts w:ascii="Times New Roman" w:hAnsi="Times New Roman" w:cs="Times New Roman"/>
          <w:sz w:val="24"/>
          <w:szCs w:val="24"/>
        </w:rPr>
        <w:t>temps</w:t>
      </w:r>
      <w:r>
        <w:rPr>
          <w:rFonts w:ascii="Times New Roman" w:hAnsi="Times New Roman" w:cs="Times New Roman"/>
          <w:sz w:val="24"/>
          <w:szCs w:val="24"/>
        </w:rPr>
        <w:t xml:space="preserve"> de repos.</w:t>
      </w:r>
    </w:p>
    <w:p w:rsidR="00B9432E" w:rsidRDefault="000A739A" w:rsidP="00B9432E">
      <w:pPr>
        <w:pStyle w:val="Paragraphedeliste"/>
        <w:numPr>
          <w:ilvl w:val="0"/>
          <w:numId w:val="6"/>
        </w:numPr>
        <w:jc w:val="both"/>
        <w:rPr>
          <w:rFonts w:ascii="Times New Roman" w:hAnsi="Times New Roman" w:cs="Times New Roman"/>
          <w:sz w:val="24"/>
          <w:szCs w:val="24"/>
        </w:rPr>
      </w:pPr>
      <w:r w:rsidRPr="000A739A">
        <w:rPr>
          <w:rFonts w:ascii="Times New Roman" w:hAnsi="Times New Roman" w:cs="Times New Roman"/>
          <w:sz w:val="24"/>
          <w:szCs w:val="24"/>
        </w:rPr>
        <w:t xml:space="preserve">Modification des activités : </w:t>
      </w:r>
      <w:r w:rsidR="009B19C6" w:rsidRPr="000A739A">
        <w:rPr>
          <w:rFonts w:ascii="Times New Roman" w:hAnsi="Times New Roman" w:cs="Times New Roman"/>
          <w:sz w:val="24"/>
          <w:szCs w:val="24"/>
        </w:rPr>
        <w:t xml:space="preserve">Les résidents </w:t>
      </w:r>
      <w:r w:rsidR="008C70A0" w:rsidRPr="000A739A">
        <w:rPr>
          <w:rFonts w:ascii="Times New Roman" w:hAnsi="Times New Roman" w:cs="Times New Roman"/>
          <w:sz w:val="24"/>
          <w:szCs w:val="24"/>
        </w:rPr>
        <w:t>ne mettent plus de sens aux activités, souhaitent</w:t>
      </w:r>
      <w:r w:rsidR="009B19C6" w:rsidRPr="000A739A">
        <w:rPr>
          <w:rFonts w:ascii="Times New Roman" w:hAnsi="Times New Roman" w:cs="Times New Roman"/>
          <w:sz w:val="24"/>
          <w:szCs w:val="24"/>
        </w:rPr>
        <w:t xml:space="preserve"> moins </w:t>
      </w:r>
      <w:r w:rsidR="008C70A0" w:rsidRPr="000A739A">
        <w:rPr>
          <w:rFonts w:ascii="Times New Roman" w:hAnsi="Times New Roman" w:cs="Times New Roman"/>
          <w:sz w:val="24"/>
          <w:szCs w:val="24"/>
        </w:rPr>
        <w:t xml:space="preserve">y </w:t>
      </w:r>
      <w:r w:rsidR="009B19C6" w:rsidRPr="000A739A">
        <w:rPr>
          <w:rFonts w:ascii="Times New Roman" w:hAnsi="Times New Roman" w:cs="Times New Roman"/>
          <w:sz w:val="24"/>
          <w:szCs w:val="24"/>
        </w:rPr>
        <w:t xml:space="preserve">participer, allant jusqu’à un arrêt total quand cela leur est possible. </w:t>
      </w:r>
      <w:r w:rsidR="008C70A0" w:rsidRPr="000A739A">
        <w:rPr>
          <w:rFonts w:ascii="Times New Roman" w:hAnsi="Times New Roman" w:cs="Times New Roman"/>
          <w:sz w:val="24"/>
          <w:szCs w:val="24"/>
        </w:rPr>
        <w:t>Nous faisons l’hypothèse qu’alors l’acti</w:t>
      </w:r>
      <w:r w:rsidR="00B32A56" w:rsidRPr="000A739A">
        <w:rPr>
          <w:rFonts w:ascii="Times New Roman" w:hAnsi="Times New Roman" w:cs="Times New Roman"/>
          <w:sz w:val="24"/>
          <w:szCs w:val="24"/>
        </w:rPr>
        <w:t>vité devient trop difficile avec la sensation de ne plus y arriver, de ne plus comprendre, d’être en échec.</w:t>
      </w:r>
      <w:r w:rsidRPr="000A739A">
        <w:rPr>
          <w:rFonts w:ascii="Times New Roman" w:hAnsi="Times New Roman" w:cs="Times New Roman"/>
          <w:sz w:val="24"/>
          <w:szCs w:val="24"/>
        </w:rPr>
        <w:t xml:space="preserve"> Les résidents ayant une certaine capacité d’adaptation r</w:t>
      </w:r>
      <w:r w:rsidR="00B32A56" w:rsidRPr="000A739A">
        <w:rPr>
          <w:rFonts w:ascii="Times New Roman" w:hAnsi="Times New Roman" w:cs="Times New Roman"/>
          <w:sz w:val="24"/>
          <w:szCs w:val="24"/>
        </w:rPr>
        <w:t xml:space="preserve">éorientent leurs choix vers des choses plus </w:t>
      </w:r>
      <w:r w:rsidRPr="000A739A">
        <w:rPr>
          <w:rFonts w:ascii="Times New Roman" w:hAnsi="Times New Roman" w:cs="Times New Roman"/>
          <w:sz w:val="24"/>
          <w:szCs w:val="24"/>
        </w:rPr>
        <w:t>appropriées</w:t>
      </w:r>
      <w:r w:rsidR="00B32A56" w:rsidRPr="000A739A">
        <w:rPr>
          <w:rFonts w:ascii="Times New Roman" w:hAnsi="Times New Roman" w:cs="Times New Roman"/>
          <w:sz w:val="24"/>
          <w:szCs w:val="24"/>
        </w:rPr>
        <w:t>, l’intérêt se renouvelant alors et se maintenant un certain temps avant là encore une diminution progressive.</w:t>
      </w:r>
      <w:r w:rsidRPr="000A739A">
        <w:rPr>
          <w:rFonts w:ascii="Times New Roman" w:hAnsi="Times New Roman" w:cs="Times New Roman"/>
          <w:sz w:val="24"/>
          <w:szCs w:val="24"/>
        </w:rPr>
        <w:t xml:space="preserve"> </w:t>
      </w:r>
    </w:p>
    <w:p w:rsidR="000A739A" w:rsidRPr="00B9432E" w:rsidRDefault="000A739A" w:rsidP="009A403F">
      <w:pPr>
        <w:pStyle w:val="Paragraphedeliste"/>
        <w:numPr>
          <w:ilvl w:val="0"/>
          <w:numId w:val="6"/>
        </w:numPr>
        <w:jc w:val="both"/>
        <w:rPr>
          <w:rFonts w:ascii="Times New Roman" w:hAnsi="Times New Roman" w:cs="Times New Roman"/>
          <w:sz w:val="24"/>
          <w:szCs w:val="24"/>
        </w:rPr>
      </w:pPr>
      <w:r w:rsidRPr="00B9432E">
        <w:rPr>
          <w:rFonts w:ascii="Times New Roman" w:hAnsi="Times New Roman" w:cs="Times New Roman"/>
          <w:sz w:val="24"/>
          <w:szCs w:val="24"/>
        </w:rPr>
        <w:t>Une perte des acquis dans les gestes de la vie quotidienne</w:t>
      </w:r>
      <w:r w:rsidR="00B9432E" w:rsidRPr="00B9432E">
        <w:rPr>
          <w:rFonts w:ascii="Times New Roman" w:hAnsi="Times New Roman" w:cs="Times New Roman"/>
          <w:sz w:val="24"/>
          <w:szCs w:val="24"/>
        </w:rPr>
        <w:t xml:space="preserve"> qui conforte les observations de Haxby (1989) concernant le déclin des performances cognitives et des comportements sur-appris mais qui va au-delà des deux stades qu’il a pu suggérer.</w:t>
      </w:r>
    </w:p>
    <w:p w:rsidR="00636289" w:rsidRDefault="000A739A" w:rsidP="009B19C6">
      <w:pPr>
        <w:pStyle w:val="Paragraphedeliste"/>
        <w:numPr>
          <w:ilvl w:val="0"/>
          <w:numId w:val="6"/>
        </w:numPr>
        <w:jc w:val="both"/>
        <w:rPr>
          <w:rFonts w:ascii="Times New Roman" w:hAnsi="Times New Roman" w:cs="Times New Roman"/>
          <w:sz w:val="24"/>
          <w:szCs w:val="24"/>
        </w:rPr>
      </w:pPr>
      <w:r w:rsidRPr="000A739A">
        <w:rPr>
          <w:rFonts w:ascii="Times New Roman" w:hAnsi="Times New Roman" w:cs="Times New Roman"/>
          <w:sz w:val="24"/>
          <w:szCs w:val="24"/>
        </w:rPr>
        <w:t xml:space="preserve">Des </w:t>
      </w:r>
      <w:r>
        <w:rPr>
          <w:rFonts w:ascii="Times New Roman" w:hAnsi="Times New Roman" w:cs="Times New Roman"/>
          <w:sz w:val="24"/>
          <w:szCs w:val="24"/>
        </w:rPr>
        <w:t>évolutions du comportement</w:t>
      </w:r>
      <w:r w:rsidRPr="000A739A">
        <w:rPr>
          <w:rFonts w:ascii="Times New Roman" w:hAnsi="Times New Roman" w:cs="Times New Roman"/>
          <w:sz w:val="24"/>
          <w:szCs w:val="24"/>
        </w:rPr>
        <w:t xml:space="preserve"> avec notamment des réacti</w:t>
      </w:r>
      <w:r w:rsidR="00B9432E">
        <w:rPr>
          <w:rFonts w:ascii="Times New Roman" w:hAnsi="Times New Roman" w:cs="Times New Roman"/>
          <w:sz w:val="24"/>
          <w:szCs w:val="24"/>
        </w:rPr>
        <w:t>ons d’agacement et d’opposition, comme le notifiaient Comblain et Thibaut (2009).</w:t>
      </w:r>
    </w:p>
    <w:p w:rsidR="000A739A" w:rsidRDefault="000A739A" w:rsidP="009B19C6">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Une recherche accrue de la présence d’un accompagnateur avec un besoin de réassurance.</w:t>
      </w:r>
    </w:p>
    <w:p w:rsidR="000A739A" w:rsidRDefault="000A739A" w:rsidP="009B19C6">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Une recherche de calme : recherche de petit groupe, ou bien se positionne à l’écart dans une pièce contenant un grand groupe</w:t>
      </w:r>
      <w:r w:rsidR="008D2CE4">
        <w:rPr>
          <w:rFonts w:ascii="Times New Roman" w:hAnsi="Times New Roman" w:cs="Times New Roman"/>
          <w:sz w:val="24"/>
          <w:szCs w:val="24"/>
        </w:rPr>
        <w:t>, comme le décrivaient Comblain et Thibaut (2009)</w:t>
      </w:r>
      <w:r>
        <w:rPr>
          <w:rFonts w:ascii="Times New Roman" w:hAnsi="Times New Roman" w:cs="Times New Roman"/>
          <w:sz w:val="24"/>
          <w:szCs w:val="24"/>
        </w:rPr>
        <w:t>.</w:t>
      </w:r>
    </w:p>
    <w:p w:rsidR="000A739A" w:rsidRDefault="000A739A" w:rsidP="000A739A">
      <w:pPr>
        <w:jc w:val="both"/>
        <w:rPr>
          <w:rFonts w:ascii="Times New Roman" w:hAnsi="Times New Roman" w:cs="Times New Roman"/>
          <w:sz w:val="24"/>
          <w:szCs w:val="24"/>
        </w:rPr>
      </w:pPr>
      <w:r>
        <w:rPr>
          <w:rFonts w:ascii="Times New Roman" w:hAnsi="Times New Roman" w:cs="Times New Roman"/>
          <w:sz w:val="24"/>
          <w:szCs w:val="24"/>
        </w:rPr>
        <w:t xml:space="preserve">Tous ces indicateurs doivent être observés avec attention, car </w:t>
      </w:r>
      <w:r w:rsidR="009C7F6E">
        <w:rPr>
          <w:rFonts w:ascii="Times New Roman" w:hAnsi="Times New Roman" w:cs="Times New Roman"/>
          <w:sz w:val="24"/>
          <w:szCs w:val="24"/>
        </w:rPr>
        <w:t>parfois, certains</w:t>
      </w:r>
      <w:r>
        <w:rPr>
          <w:rFonts w:ascii="Times New Roman" w:hAnsi="Times New Roman" w:cs="Times New Roman"/>
          <w:sz w:val="24"/>
          <w:szCs w:val="24"/>
        </w:rPr>
        <w:t xml:space="preserve"> résidents semblent passer moins de temps en chambre a se reposer, </w:t>
      </w:r>
      <w:r w:rsidR="009C7F6E">
        <w:rPr>
          <w:rFonts w:ascii="Times New Roman" w:hAnsi="Times New Roman" w:cs="Times New Roman"/>
          <w:sz w:val="24"/>
          <w:szCs w:val="24"/>
        </w:rPr>
        <w:t>et cela peut être interpréter comme un regain d’énergie, mais il est possible qu’ils ne restent plus en chambre car ils sont</w:t>
      </w:r>
      <w:r>
        <w:rPr>
          <w:rFonts w:ascii="Times New Roman" w:hAnsi="Times New Roman" w:cs="Times New Roman"/>
          <w:sz w:val="24"/>
          <w:szCs w:val="24"/>
        </w:rPr>
        <w:t xml:space="preserve"> en recherche de réassurance auprès du professionnel ou parce qu’il</w:t>
      </w:r>
      <w:r w:rsidR="009C7F6E">
        <w:rPr>
          <w:rFonts w:ascii="Times New Roman" w:hAnsi="Times New Roman" w:cs="Times New Roman"/>
          <w:sz w:val="24"/>
          <w:szCs w:val="24"/>
        </w:rPr>
        <w:t>s</w:t>
      </w:r>
      <w:r>
        <w:rPr>
          <w:rFonts w:ascii="Times New Roman" w:hAnsi="Times New Roman" w:cs="Times New Roman"/>
          <w:sz w:val="24"/>
          <w:szCs w:val="24"/>
        </w:rPr>
        <w:t xml:space="preserve"> ne savent plus occuper de façon auton</w:t>
      </w:r>
      <w:r w:rsidR="00AD2210">
        <w:rPr>
          <w:rFonts w:ascii="Times New Roman" w:hAnsi="Times New Roman" w:cs="Times New Roman"/>
          <w:sz w:val="24"/>
          <w:szCs w:val="24"/>
        </w:rPr>
        <w:t>ome leurs temps libres</w:t>
      </w:r>
      <w:r>
        <w:rPr>
          <w:rFonts w:ascii="Times New Roman" w:hAnsi="Times New Roman" w:cs="Times New Roman"/>
          <w:sz w:val="24"/>
          <w:szCs w:val="24"/>
        </w:rPr>
        <w:t>.</w:t>
      </w:r>
    </w:p>
    <w:p w:rsidR="00CC03DB" w:rsidRDefault="009C7F6E" w:rsidP="000A739A">
      <w:pPr>
        <w:jc w:val="both"/>
        <w:rPr>
          <w:rFonts w:ascii="Times New Roman" w:hAnsi="Times New Roman" w:cs="Times New Roman"/>
          <w:sz w:val="24"/>
          <w:szCs w:val="24"/>
        </w:rPr>
      </w:pPr>
      <w:r>
        <w:rPr>
          <w:rFonts w:ascii="Times New Roman" w:hAnsi="Times New Roman" w:cs="Times New Roman"/>
          <w:sz w:val="24"/>
          <w:szCs w:val="24"/>
        </w:rPr>
        <w:t>Tous ces nouveaux constats amène</w:t>
      </w:r>
      <w:r w:rsidR="00AD2210">
        <w:rPr>
          <w:rFonts w:ascii="Times New Roman" w:hAnsi="Times New Roman" w:cs="Times New Roman"/>
          <w:sz w:val="24"/>
          <w:szCs w:val="24"/>
        </w:rPr>
        <w:t>nt</w:t>
      </w:r>
      <w:r>
        <w:rPr>
          <w:rFonts w:ascii="Times New Roman" w:hAnsi="Times New Roman" w:cs="Times New Roman"/>
          <w:sz w:val="24"/>
          <w:szCs w:val="24"/>
        </w:rPr>
        <w:t xml:space="preserve"> l’équipe a apporter un ajustement de leurs accompagnements (flèches 3 et 4) avec une acceptation du vieillissement qui passe par plus d’étayage dans le quotidien du résident. Ce changement de regard conduit à l’acceptation et amène le résident (flèche 5) à trouver un nouvel équilibre précaire et fluctuant (période 2). </w:t>
      </w:r>
      <w:r w:rsidR="00CC03DB">
        <w:rPr>
          <w:rFonts w:ascii="Times New Roman" w:hAnsi="Times New Roman" w:cs="Times New Roman"/>
          <w:sz w:val="24"/>
          <w:szCs w:val="24"/>
        </w:rPr>
        <w:t xml:space="preserve">Puis </w:t>
      </w:r>
      <w:r w:rsidR="00476916">
        <w:rPr>
          <w:rFonts w:ascii="Times New Roman" w:hAnsi="Times New Roman" w:cs="Times New Roman"/>
          <w:sz w:val="24"/>
          <w:szCs w:val="24"/>
        </w:rPr>
        <w:t>surviendra</w:t>
      </w:r>
      <w:r w:rsidR="00CC03DB">
        <w:rPr>
          <w:rFonts w:ascii="Times New Roman" w:hAnsi="Times New Roman" w:cs="Times New Roman"/>
          <w:sz w:val="24"/>
          <w:szCs w:val="24"/>
        </w:rPr>
        <w:t xml:space="preserve"> </w:t>
      </w:r>
      <w:r w:rsidR="00476916">
        <w:rPr>
          <w:rFonts w:ascii="Times New Roman" w:hAnsi="Times New Roman" w:cs="Times New Roman"/>
          <w:sz w:val="24"/>
          <w:szCs w:val="24"/>
        </w:rPr>
        <w:t>à</w:t>
      </w:r>
      <w:r w:rsidR="00CC03DB">
        <w:rPr>
          <w:rFonts w:ascii="Times New Roman" w:hAnsi="Times New Roman" w:cs="Times New Roman"/>
          <w:sz w:val="24"/>
          <w:szCs w:val="24"/>
        </w:rPr>
        <w:t xml:space="preserve"> nouveau une période de troubles (période 1) témoignant que le résident est arrivé au bout de ce béquillage et que l’équipe devra </w:t>
      </w:r>
      <w:r w:rsidR="00476916">
        <w:rPr>
          <w:rFonts w:ascii="Times New Roman" w:hAnsi="Times New Roman" w:cs="Times New Roman"/>
          <w:sz w:val="24"/>
          <w:szCs w:val="24"/>
        </w:rPr>
        <w:t>à</w:t>
      </w:r>
      <w:r w:rsidR="00CC03DB">
        <w:rPr>
          <w:rFonts w:ascii="Times New Roman" w:hAnsi="Times New Roman" w:cs="Times New Roman"/>
          <w:sz w:val="24"/>
          <w:szCs w:val="24"/>
        </w:rPr>
        <w:t xml:space="preserve"> nouveau s’ajuster à ses besoins. </w:t>
      </w:r>
    </w:p>
    <w:p w:rsidR="00CC03DB" w:rsidRDefault="00CC03DB" w:rsidP="000A739A">
      <w:pPr>
        <w:jc w:val="both"/>
        <w:rPr>
          <w:rFonts w:ascii="Times New Roman" w:hAnsi="Times New Roman" w:cs="Times New Roman"/>
          <w:sz w:val="24"/>
          <w:szCs w:val="24"/>
        </w:rPr>
      </w:pPr>
      <w:r>
        <w:rPr>
          <w:rFonts w:ascii="Times New Roman" w:hAnsi="Times New Roman" w:cs="Times New Roman"/>
          <w:sz w:val="24"/>
          <w:szCs w:val="24"/>
        </w:rPr>
        <w:t>Cette boucle durera aussi longtemps que le résident à de</w:t>
      </w:r>
      <w:r w:rsidR="009F5027">
        <w:rPr>
          <w:rFonts w:ascii="Times New Roman" w:hAnsi="Times New Roman" w:cs="Times New Roman"/>
          <w:sz w:val="24"/>
          <w:szCs w:val="24"/>
        </w:rPr>
        <w:t>s</w:t>
      </w:r>
      <w:r>
        <w:rPr>
          <w:rFonts w:ascii="Times New Roman" w:hAnsi="Times New Roman" w:cs="Times New Roman"/>
          <w:sz w:val="24"/>
          <w:szCs w:val="24"/>
        </w:rPr>
        <w:t xml:space="preserve"> </w:t>
      </w:r>
      <w:r w:rsidR="00476916">
        <w:rPr>
          <w:rFonts w:ascii="Times New Roman" w:hAnsi="Times New Roman" w:cs="Times New Roman"/>
          <w:sz w:val="24"/>
          <w:szCs w:val="24"/>
        </w:rPr>
        <w:t>ressources</w:t>
      </w:r>
      <w:r>
        <w:rPr>
          <w:rFonts w:ascii="Times New Roman" w:hAnsi="Times New Roman" w:cs="Times New Roman"/>
          <w:sz w:val="24"/>
          <w:szCs w:val="24"/>
        </w:rPr>
        <w:t xml:space="preserve"> et aussi longtemps que l’équipe sera en mesure de s’adapter.</w:t>
      </w:r>
    </w:p>
    <w:p w:rsidR="009F5027" w:rsidRPr="000A739A" w:rsidRDefault="009F5027" w:rsidP="009F5027">
      <w:pPr>
        <w:jc w:val="both"/>
        <w:rPr>
          <w:rFonts w:ascii="Times New Roman" w:hAnsi="Times New Roman" w:cs="Times New Roman"/>
          <w:sz w:val="24"/>
          <w:szCs w:val="24"/>
        </w:rPr>
      </w:pPr>
      <w:r>
        <w:rPr>
          <w:rFonts w:ascii="Times New Roman" w:hAnsi="Times New Roman" w:cs="Times New Roman"/>
          <w:sz w:val="24"/>
          <w:szCs w:val="24"/>
        </w:rPr>
        <w:t>Du point de vue de la santé, rien n’a été constaté de particulier chez les personnes observées. Elles ne présentent pas de symptômes particuliers et ne nécessite</w:t>
      </w:r>
      <w:r w:rsidR="00AD2210">
        <w:rPr>
          <w:rFonts w:ascii="Times New Roman" w:hAnsi="Times New Roman" w:cs="Times New Roman"/>
          <w:sz w:val="24"/>
          <w:szCs w:val="24"/>
        </w:rPr>
        <w:t>nt</w:t>
      </w:r>
      <w:r>
        <w:rPr>
          <w:rFonts w:ascii="Times New Roman" w:hAnsi="Times New Roman" w:cs="Times New Roman"/>
          <w:sz w:val="24"/>
          <w:szCs w:val="24"/>
        </w:rPr>
        <w:t xml:space="preserve"> pas de soins spécifique</w:t>
      </w:r>
      <w:r w:rsidR="00AD2210">
        <w:rPr>
          <w:rFonts w:ascii="Times New Roman" w:hAnsi="Times New Roman" w:cs="Times New Roman"/>
          <w:sz w:val="24"/>
          <w:szCs w:val="24"/>
        </w:rPr>
        <w:t>s</w:t>
      </w:r>
      <w:r>
        <w:rPr>
          <w:rFonts w:ascii="Times New Roman" w:hAnsi="Times New Roman" w:cs="Times New Roman"/>
          <w:sz w:val="24"/>
          <w:szCs w:val="24"/>
        </w:rPr>
        <w:t>. Par contre, lorsque quelque chose ne va pas sur le plan physique, quel</w:t>
      </w:r>
      <w:r w:rsidR="00AD2210">
        <w:rPr>
          <w:rFonts w:ascii="Times New Roman" w:hAnsi="Times New Roman" w:cs="Times New Roman"/>
          <w:sz w:val="24"/>
          <w:szCs w:val="24"/>
        </w:rPr>
        <w:t>le</w:t>
      </w:r>
      <w:r>
        <w:rPr>
          <w:rFonts w:ascii="Times New Roman" w:hAnsi="Times New Roman" w:cs="Times New Roman"/>
          <w:sz w:val="24"/>
          <w:szCs w:val="24"/>
        </w:rPr>
        <w:t xml:space="preserve"> que soit la gravité, (douleur dentaire, constipation…) cela impacte l’ensemble de la situation de la personne, comme un équilibre précaire qui se trouve alors fortement déstabilisé.</w:t>
      </w:r>
    </w:p>
    <w:p w:rsidR="00CC03DB" w:rsidRDefault="009F5027" w:rsidP="000A739A">
      <w:pPr>
        <w:jc w:val="both"/>
        <w:rPr>
          <w:rFonts w:ascii="Times New Roman" w:hAnsi="Times New Roman" w:cs="Times New Roman"/>
          <w:sz w:val="24"/>
          <w:szCs w:val="24"/>
        </w:rPr>
      </w:pPr>
      <w:r>
        <w:rPr>
          <w:rFonts w:ascii="Times New Roman" w:hAnsi="Times New Roman" w:cs="Times New Roman"/>
          <w:sz w:val="24"/>
          <w:szCs w:val="24"/>
        </w:rPr>
        <w:t xml:space="preserve">Durant cette alternance de période 1 et 2, </w:t>
      </w:r>
      <w:r w:rsidR="00CC03DB">
        <w:rPr>
          <w:rFonts w:ascii="Times New Roman" w:hAnsi="Times New Roman" w:cs="Times New Roman"/>
          <w:sz w:val="24"/>
          <w:szCs w:val="24"/>
        </w:rPr>
        <w:t xml:space="preserve">le résident va </w:t>
      </w:r>
      <w:r>
        <w:rPr>
          <w:rFonts w:ascii="Times New Roman" w:hAnsi="Times New Roman" w:cs="Times New Roman"/>
          <w:sz w:val="24"/>
          <w:szCs w:val="24"/>
        </w:rPr>
        <w:t xml:space="preserve">progressivement </w:t>
      </w:r>
      <w:r w:rsidR="00CC03DB">
        <w:rPr>
          <w:rFonts w:ascii="Times New Roman" w:hAnsi="Times New Roman" w:cs="Times New Roman"/>
          <w:sz w:val="24"/>
          <w:szCs w:val="24"/>
        </w:rPr>
        <w:t>montrer plusieurs changements majeurs :</w:t>
      </w:r>
    </w:p>
    <w:p w:rsidR="00CC03DB" w:rsidRDefault="00CC03DB" w:rsidP="00CC03DB">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Sur le plan cognitif, nous constatons une diminution du vocabulaire et de la concentration. La compréhension se maintient si les consignent s’adaptent. </w:t>
      </w:r>
    </w:p>
    <w:p w:rsidR="00CC03DB" w:rsidRDefault="00CC03DB" w:rsidP="00CC03DB">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Sur l’orientation, le </w:t>
      </w:r>
      <w:r w:rsidR="00476916">
        <w:rPr>
          <w:rFonts w:ascii="Times New Roman" w:hAnsi="Times New Roman" w:cs="Times New Roman"/>
          <w:sz w:val="24"/>
          <w:szCs w:val="24"/>
        </w:rPr>
        <w:t>résident</w:t>
      </w:r>
      <w:r>
        <w:rPr>
          <w:rFonts w:ascii="Times New Roman" w:hAnsi="Times New Roman" w:cs="Times New Roman"/>
          <w:sz w:val="24"/>
          <w:szCs w:val="24"/>
        </w:rPr>
        <w:t xml:space="preserve"> a besoin de repères, au niveau de</w:t>
      </w:r>
      <w:r w:rsidR="00476916">
        <w:rPr>
          <w:rFonts w:ascii="Times New Roman" w:hAnsi="Times New Roman" w:cs="Times New Roman"/>
          <w:sz w:val="24"/>
          <w:szCs w:val="24"/>
        </w:rPr>
        <w:t xml:space="preserve"> l</w:t>
      </w:r>
      <w:r>
        <w:rPr>
          <w:rFonts w:ascii="Times New Roman" w:hAnsi="Times New Roman" w:cs="Times New Roman"/>
          <w:sz w:val="24"/>
          <w:szCs w:val="24"/>
        </w:rPr>
        <w:t xml:space="preserve">‘espace (panneaux, </w:t>
      </w:r>
      <w:r w:rsidR="00476916">
        <w:rPr>
          <w:rFonts w:ascii="Times New Roman" w:hAnsi="Times New Roman" w:cs="Times New Roman"/>
          <w:sz w:val="24"/>
          <w:szCs w:val="24"/>
        </w:rPr>
        <w:t>fléchage</w:t>
      </w:r>
      <w:r>
        <w:rPr>
          <w:rFonts w:ascii="Times New Roman" w:hAnsi="Times New Roman" w:cs="Times New Roman"/>
          <w:sz w:val="24"/>
          <w:szCs w:val="24"/>
        </w:rPr>
        <w:t xml:space="preserve">…) et au niveau du temps vis-à-vis de l’organisation de ses journées (activités et succession des différents temps). En effet, progressivement, des difficultés supplémentaires peuvent apparaitre comme l’oubli d’avoir pris un repas et réclamer à nouveau </w:t>
      </w:r>
      <w:r w:rsidR="00476916">
        <w:rPr>
          <w:rFonts w:ascii="Times New Roman" w:hAnsi="Times New Roman" w:cs="Times New Roman"/>
          <w:sz w:val="24"/>
          <w:szCs w:val="24"/>
        </w:rPr>
        <w:t>à</w:t>
      </w:r>
      <w:r>
        <w:rPr>
          <w:rFonts w:ascii="Times New Roman" w:hAnsi="Times New Roman" w:cs="Times New Roman"/>
          <w:sz w:val="24"/>
          <w:szCs w:val="24"/>
        </w:rPr>
        <w:t xml:space="preserve"> manger, une mise en pyjama l’après-midi…</w:t>
      </w:r>
      <w:r w:rsidR="008D2CE4">
        <w:rPr>
          <w:rFonts w:ascii="Times New Roman" w:hAnsi="Times New Roman" w:cs="Times New Roman"/>
          <w:sz w:val="24"/>
          <w:szCs w:val="24"/>
        </w:rPr>
        <w:t xml:space="preserve"> Ces données confortent celles obtenue par Haxby (1989), Alexander et ali (1997) et Comblain et Thibaut (2009) aux épreuves visuo-spatiale et d’orientation.</w:t>
      </w:r>
    </w:p>
    <w:p w:rsidR="00CC03DB" w:rsidRDefault="00CC03DB" w:rsidP="00CC03DB">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Sur le plan émotionnel, nous constatons chez tous une diminution de l’expression des émotions : elles s’exprimaient jusqu’alors dans un contexte approprié et on tendance avec le temps a moins s’</w:t>
      </w:r>
      <w:r w:rsidR="00476916">
        <w:rPr>
          <w:rFonts w:ascii="Times New Roman" w:hAnsi="Times New Roman" w:cs="Times New Roman"/>
          <w:sz w:val="24"/>
          <w:szCs w:val="24"/>
        </w:rPr>
        <w:t>exprimer</w:t>
      </w:r>
      <w:r>
        <w:rPr>
          <w:rFonts w:ascii="Times New Roman" w:hAnsi="Times New Roman" w:cs="Times New Roman"/>
          <w:sz w:val="24"/>
          <w:szCs w:val="24"/>
        </w:rPr>
        <w:t xml:space="preserve"> en lien avec une situation, et à plus s’exprimer sans contexte.</w:t>
      </w:r>
    </w:p>
    <w:p w:rsidR="00CC03DB" w:rsidRDefault="00CC03DB" w:rsidP="00CC03DB">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Sur le plan de l’autonomie liée à l’hygiène, le </w:t>
      </w:r>
      <w:r w:rsidR="00476916">
        <w:rPr>
          <w:rFonts w:ascii="Times New Roman" w:hAnsi="Times New Roman" w:cs="Times New Roman"/>
          <w:sz w:val="24"/>
          <w:szCs w:val="24"/>
        </w:rPr>
        <w:t>premier</w:t>
      </w:r>
      <w:r>
        <w:rPr>
          <w:rFonts w:ascii="Times New Roman" w:hAnsi="Times New Roman" w:cs="Times New Roman"/>
          <w:sz w:val="24"/>
          <w:szCs w:val="24"/>
        </w:rPr>
        <w:t xml:space="preserve"> </w:t>
      </w:r>
      <w:r w:rsidR="00476916">
        <w:rPr>
          <w:rFonts w:ascii="Times New Roman" w:hAnsi="Times New Roman" w:cs="Times New Roman"/>
          <w:sz w:val="24"/>
          <w:szCs w:val="24"/>
        </w:rPr>
        <w:t>élément</w:t>
      </w:r>
      <w:r>
        <w:rPr>
          <w:rFonts w:ascii="Times New Roman" w:hAnsi="Times New Roman" w:cs="Times New Roman"/>
          <w:sz w:val="24"/>
          <w:szCs w:val="24"/>
        </w:rPr>
        <w:t xml:space="preserve"> commun qui apparait est la perte de la gestion de l’appareillage (auditif, dentaire, montre)</w:t>
      </w:r>
      <w:r w:rsidR="00476916">
        <w:rPr>
          <w:rFonts w:ascii="Times New Roman" w:hAnsi="Times New Roman" w:cs="Times New Roman"/>
          <w:sz w:val="24"/>
          <w:szCs w:val="24"/>
        </w:rPr>
        <w:t xml:space="preserve"> qui est un élément externe et qui n’est plus reconnu par l’usager comme faisant partie de son quotidien.</w:t>
      </w:r>
    </w:p>
    <w:p w:rsidR="00476916" w:rsidRDefault="00476916" w:rsidP="00CC03DB">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Sur le plan de l’alimentation, l’intérêt est maintenu assez longtemps pour peu qu’il y ait des aménagements : utilisation d’un seul couvert, séquencer les apports et le positionnement à table pour limiter les stimulation (dos au groupe, table à l’écart, en chambre, différer les temps de repas, séquencer les apports sur une journée…).</w:t>
      </w:r>
      <w:r w:rsidR="00556D99">
        <w:rPr>
          <w:rFonts w:ascii="Times New Roman" w:hAnsi="Times New Roman" w:cs="Times New Roman"/>
          <w:sz w:val="24"/>
          <w:szCs w:val="24"/>
        </w:rPr>
        <w:t xml:space="preserve"> Les fausses routes </w:t>
      </w:r>
      <w:r w:rsidR="008D2CE4">
        <w:rPr>
          <w:rFonts w:ascii="Times New Roman" w:hAnsi="Times New Roman" w:cs="Times New Roman"/>
          <w:sz w:val="24"/>
          <w:szCs w:val="24"/>
        </w:rPr>
        <w:t>augmentent</w:t>
      </w:r>
      <w:r w:rsidR="00556D99">
        <w:rPr>
          <w:rFonts w:ascii="Times New Roman" w:hAnsi="Times New Roman" w:cs="Times New Roman"/>
          <w:sz w:val="24"/>
          <w:szCs w:val="24"/>
        </w:rPr>
        <w:t xml:space="preserve"> progressivement.</w:t>
      </w:r>
    </w:p>
    <w:p w:rsidR="00476916" w:rsidRDefault="00476916" w:rsidP="00CC03DB">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Sur le plan environnemental : un repli progressif est observé chez tous, l’environnement se réduit avec une disparition progressive des sorties à l’extérieur, moins d’investissement sur l’ensemble de l’établissement et un quotidien qui se recentre sur l’unité de vie puis la chambre. </w:t>
      </w:r>
    </w:p>
    <w:p w:rsidR="00476916" w:rsidRPr="00CC03DB" w:rsidRDefault="00476916" w:rsidP="00CC03DB">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Sur le plan social, la personne désinvestie les grands groupes au profit des plus petits puis se recentre progressivement sur leur univers se retrouvant dans une « bulle » pouvant à terme ne plus interagir avec les autres.</w:t>
      </w:r>
    </w:p>
    <w:p w:rsidR="00CC03DB" w:rsidRDefault="00320891" w:rsidP="000A739A">
      <w:pPr>
        <w:jc w:val="both"/>
        <w:rPr>
          <w:rFonts w:ascii="Times New Roman" w:hAnsi="Times New Roman" w:cs="Times New Roman"/>
          <w:sz w:val="24"/>
          <w:szCs w:val="24"/>
        </w:rPr>
      </w:pPr>
      <w:r>
        <w:rPr>
          <w:rFonts w:ascii="Times New Roman" w:hAnsi="Times New Roman" w:cs="Times New Roman"/>
          <w:sz w:val="24"/>
          <w:szCs w:val="24"/>
        </w:rPr>
        <w:t>Toutes ses observations apparaissent progressivement chez les usagers au fur et à mesure des phases cycliques entres les périodes 1 et 2. Il vient alors un moment où</w:t>
      </w:r>
      <w:r w:rsidR="00CC03DB">
        <w:rPr>
          <w:rFonts w:ascii="Times New Roman" w:hAnsi="Times New Roman" w:cs="Times New Roman"/>
          <w:sz w:val="24"/>
          <w:szCs w:val="24"/>
        </w:rPr>
        <w:t xml:space="preserve"> le résident ne peut </w:t>
      </w:r>
      <w:r>
        <w:rPr>
          <w:rFonts w:ascii="Times New Roman" w:hAnsi="Times New Roman" w:cs="Times New Roman"/>
          <w:sz w:val="24"/>
          <w:szCs w:val="24"/>
        </w:rPr>
        <w:t>plus ou ne veut</w:t>
      </w:r>
      <w:r w:rsidR="00CC03DB">
        <w:rPr>
          <w:rFonts w:ascii="Times New Roman" w:hAnsi="Times New Roman" w:cs="Times New Roman"/>
          <w:sz w:val="24"/>
          <w:szCs w:val="24"/>
        </w:rPr>
        <w:t xml:space="preserve"> plus continuer à s’adapter aux ajustements proposés par l’</w:t>
      </w:r>
      <w:r>
        <w:rPr>
          <w:rFonts w:ascii="Times New Roman" w:hAnsi="Times New Roman" w:cs="Times New Roman"/>
          <w:sz w:val="24"/>
          <w:szCs w:val="24"/>
        </w:rPr>
        <w:t>équipe. I</w:t>
      </w:r>
      <w:r w:rsidR="00CC03DB">
        <w:rPr>
          <w:rFonts w:ascii="Times New Roman" w:hAnsi="Times New Roman" w:cs="Times New Roman"/>
          <w:sz w:val="24"/>
          <w:szCs w:val="24"/>
        </w:rPr>
        <w:t>l</w:t>
      </w:r>
      <w:r>
        <w:rPr>
          <w:rFonts w:ascii="Times New Roman" w:hAnsi="Times New Roman" w:cs="Times New Roman"/>
          <w:sz w:val="24"/>
          <w:szCs w:val="24"/>
        </w:rPr>
        <w:t xml:space="preserve"> </w:t>
      </w:r>
      <w:r w:rsidR="00CC03DB">
        <w:rPr>
          <w:rFonts w:ascii="Times New Roman" w:hAnsi="Times New Roman" w:cs="Times New Roman"/>
          <w:sz w:val="24"/>
          <w:szCs w:val="24"/>
        </w:rPr>
        <w:t xml:space="preserve">entre </w:t>
      </w:r>
      <w:r>
        <w:rPr>
          <w:rFonts w:ascii="Times New Roman" w:hAnsi="Times New Roman" w:cs="Times New Roman"/>
          <w:sz w:val="24"/>
          <w:szCs w:val="24"/>
        </w:rPr>
        <w:t xml:space="preserve">alors </w:t>
      </w:r>
      <w:r w:rsidR="00CC03DB">
        <w:rPr>
          <w:rFonts w:ascii="Times New Roman" w:hAnsi="Times New Roman" w:cs="Times New Roman"/>
          <w:sz w:val="24"/>
          <w:szCs w:val="24"/>
        </w:rPr>
        <w:t>dans la période de retrait social (période 3)</w:t>
      </w:r>
      <w:r>
        <w:rPr>
          <w:rFonts w:ascii="Times New Roman" w:hAnsi="Times New Roman" w:cs="Times New Roman"/>
          <w:sz w:val="24"/>
          <w:szCs w:val="24"/>
        </w:rPr>
        <w:t>.</w:t>
      </w:r>
    </w:p>
    <w:p w:rsidR="00320891" w:rsidRDefault="00327AA9" w:rsidP="000A739A">
      <w:pPr>
        <w:jc w:val="both"/>
        <w:rPr>
          <w:rFonts w:ascii="Times New Roman" w:hAnsi="Times New Roman" w:cs="Times New Roman"/>
          <w:sz w:val="24"/>
          <w:szCs w:val="24"/>
        </w:rPr>
      </w:pPr>
      <w:r>
        <w:rPr>
          <w:rFonts w:ascii="Times New Roman" w:hAnsi="Times New Roman" w:cs="Times New Roman"/>
          <w:sz w:val="24"/>
          <w:szCs w:val="24"/>
        </w:rPr>
        <w:t xml:space="preserve">Cette troisième période est caractérisée par des centres d’intérêt plus centrés sur des activités duelles ou solitaires (temps esthétique, bien-être, découpage, coloriage, écriture, boite contenant divers petits objets </w:t>
      </w:r>
      <w:r w:rsidR="00D115EA">
        <w:rPr>
          <w:rFonts w:ascii="Times New Roman" w:hAnsi="Times New Roman" w:cs="Times New Roman"/>
          <w:sz w:val="24"/>
          <w:szCs w:val="24"/>
        </w:rPr>
        <w:t>à</w:t>
      </w:r>
      <w:r>
        <w:rPr>
          <w:rFonts w:ascii="Times New Roman" w:hAnsi="Times New Roman" w:cs="Times New Roman"/>
          <w:sz w:val="24"/>
          <w:szCs w:val="24"/>
        </w:rPr>
        <w:t xml:space="preserve"> manipuler comme des perles, des dés, des </w:t>
      </w:r>
      <w:r w:rsidR="00556D99">
        <w:rPr>
          <w:rFonts w:ascii="Times New Roman" w:hAnsi="Times New Roman" w:cs="Times New Roman"/>
          <w:sz w:val="24"/>
          <w:szCs w:val="24"/>
        </w:rPr>
        <w:t>porte-clés</w:t>
      </w:r>
      <w:r>
        <w:rPr>
          <w:rFonts w:ascii="Times New Roman" w:hAnsi="Times New Roman" w:cs="Times New Roman"/>
          <w:sz w:val="24"/>
          <w:szCs w:val="24"/>
        </w:rPr>
        <w:t xml:space="preserve">…). Les gestes sont répétitifs (actionner des poignées de portes, déchirer en petit morceaux la tapisserie, des </w:t>
      </w:r>
      <w:r w:rsidR="00D115EA">
        <w:rPr>
          <w:rFonts w:ascii="Times New Roman" w:hAnsi="Times New Roman" w:cs="Times New Roman"/>
          <w:sz w:val="24"/>
          <w:szCs w:val="24"/>
        </w:rPr>
        <w:t>tissu</w:t>
      </w:r>
      <w:r>
        <w:rPr>
          <w:rFonts w:ascii="Times New Roman" w:hAnsi="Times New Roman" w:cs="Times New Roman"/>
          <w:sz w:val="24"/>
          <w:szCs w:val="24"/>
        </w:rPr>
        <w:t>s…, trier des perles, dessiner des petits ronds</w:t>
      </w:r>
      <w:r w:rsidR="00D115EA">
        <w:rPr>
          <w:rFonts w:ascii="Times New Roman" w:hAnsi="Times New Roman" w:cs="Times New Roman"/>
          <w:sz w:val="24"/>
          <w:szCs w:val="24"/>
        </w:rPr>
        <w:t>, cueillir des fleurs imaginaires</w:t>
      </w:r>
      <w:r>
        <w:rPr>
          <w:rFonts w:ascii="Times New Roman" w:hAnsi="Times New Roman" w:cs="Times New Roman"/>
          <w:sz w:val="24"/>
          <w:szCs w:val="24"/>
        </w:rPr>
        <w:t xml:space="preserve">…). Les émotions ne se vivent </w:t>
      </w:r>
      <w:r w:rsidR="00556D99">
        <w:rPr>
          <w:rFonts w:ascii="Times New Roman" w:hAnsi="Times New Roman" w:cs="Times New Roman"/>
          <w:sz w:val="24"/>
          <w:szCs w:val="24"/>
        </w:rPr>
        <w:t>pratiquement</w:t>
      </w:r>
      <w:r>
        <w:rPr>
          <w:rFonts w:ascii="Times New Roman" w:hAnsi="Times New Roman" w:cs="Times New Roman"/>
          <w:sz w:val="24"/>
          <w:szCs w:val="24"/>
        </w:rPr>
        <w:t xml:space="preserve"> plus en contexte avec le groupe, mais seule, sans contexte, comme si la personne ne réagissait plus avec les autres mais avec elle-même. De la déambulation peut apparaitre et sembler </w:t>
      </w:r>
      <w:r w:rsidR="00556D99">
        <w:rPr>
          <w:rFonts w:ascii="Times New Roman" w:hAnsi="Times New Roman" w:cs="Times New Roman"/>
          <w:sz w:val="24"/>
          <w:szCs w:val="24"/>
        </w:rPr>
        <w:t>incontrôlable</w:t>
      </w:r>
      <w:r>
        <w:rPr>
          <w:rFonts w:ascii="Times New Roman" w:hAnsi="Times New Roman" w:cs="Times New Roman"/>
          <w:sz w:val="24"/>
          <w:szCs w:val="24"/>
        </w:rPr>
        <w:t xml:space="preserve"> qui peut être </w:t>
      </w:r>
      <w:r w:rsidR="00556D99">
        <w:rPr>
          <w:rFonts w:ascii="Times New Roman" w:hAnsi="Times New Roman" w:cs="Times New Roman"/>
          <w:sz w:val="24"/>
          <w:szCs w:val="24"/>
        </w:rPr>
        <w:t>alimentée</w:t>
      </w:r>
      <w:r>
        <w:rPr>
          <w:rFonts w:ascii="Times New Roman" w:hAnsi="Times New Roman" w:cs="Times New Roman"/>
          <w:sz w:val="24"/>
          <w:szCs w:val="24"/>
        </w:rPr>
        <w:t xml:space="preserve"> par une quête précise ou s’</w:t>
      </w:r>
      <w:r w:rsidR="00556D99">
        <w:rPr>
          <w:rFonts w:ascii="Times New Roman" w:hAnsi="Times New Roman" w:cs="Times New Roman"/>
          <w:sz w:val="24"/>
          <w:szCs w:val="24"/>
        </w:rPr>
        <w:t>apparenter</w:t>
      </w:r>
      <w:r>
        <w:rPr>
          <w:rFonts w:ascii="Times New Roman" w:hAnsi="Times New Roman" w:cs="Times New Roman"/>
          <w:sz w:val="24"/>
          <w:szCs w:val="24"/>
        </w:rPr>
        <w:t xml:space="preserve"> à de l’</w:t>
      </w:r>
      <w:r w:rsidR="00556D99">
        <w:rPr>
          <w:rFonts w:ascii="Times New Roman" w:hAnsi="Times New Roman" w:cs="Times New Roman"/>
          <w:sz w:val="24"/>
          <w:szCs w:val="24"/>
        </w:rPr>
        <w:t>errance</w:t>
      </w:r>
      <w:r>
        <w:rPr>
          <w:rFonts w:ascii="Times New Roman" w:hAnsi="Times New Roman" w:cs="Times New Roman"/>
          <w:sz w:val="24"/>
          <w:szCs w:val="24"/>
        </w:rPr>
        <w:t xml:space="preserve"> dénuée d’intention. Cette déambulation peut aller jusqu’à l’épuisement physique et être marquée par des chutes.</w:t>
      </w:r>
      <w:r w:rsidR="00D115EA">
        <w:rPr>
          <w:rFonts w:eastAsiaTheme="minorEastAsia" w:hAnsi="Arial"/>
          <w:color w:val="404040" w:themeColor="text1" w:themeTint="BF"/>
          <w:kern w:val="24"/>
          <w:sz w:val="40"/>
          <w:szCs w:val="40"/>
        </w:rPr>
        <w:t xml:space="preserve"> </w:t>
      </w:r>
      <w:r w:rsidR="00D115EA">
        <w:rPr>
          <w:rFonts w:ascii="Times New Roman" w:hAnsi="Times New Roman" w:cs="Times New Roman"/>
          <w:sz w:val="24"/>
          <w:szCs w:val="24"/>
        </w:rPr>
        <w:t xml:space="preserve">Cette période est très lourde pour </w:t>
      </w:r>
      <w:r w:rsidR="00D115EA" w:rsidRPr="00D115EA">
        <w:rPr>
          <w:rFonts w:ascii="Times New Roman" w:hAnsi="Times New Roman" w:cs="Times New Roman"/>
          <w:sz w:val="24"/>
          <w:szCs w:val="24"/>
        </w:rPr>
        <w:t xml:space="preserve">les </w:t>
      </w:r>
      <w:r w:rsidR="00D115EA">
        <w:rPr>
          <w:rFonts w:ascii="Times New Roman" w:hAnsi="Times New Roman" w:cs="Times New Roman"/>
          <w:sz w:val="24"/>
          <w:szCs w:val="24"/>
        </w:rPr>
        <w:t>autres résidents et les équipes. Le résident peut pleurer, crier, gémir constamment, sans qu’une solution d’apaisement ne soit trouvée. Son accompagnement est plus lourd et nécessite du temps, des besoins matériels et humains. La vie de groupe est touchée.</w:t>
      </w:r>
    </w:p>
    <w:p w:rsidR="009F5027" w:rsidRPr="009F5027" w:rsidRDefault="00D115EA" w:rsidP="009F5027">
      <w:pPr>
        <w:jc w:val="both"/>
        <w:rPr>
          <w:rFonts w:ascii="Times New Roman" w:hAnsi="Times New Roman" w:cs="Times New Roman"/>
          <w:sz w:val="24"/>
          <w:szCs w:val="24"/>
        </w:rPr>
      </w:pPr>
      <w:r>
        <w:rPr>
          <w:rFonts w:ascii="Times New Roman" w:hAnsi="Times New Roman" w:cs="Times New Roman"/>
          <w:sz w:val="24"/>
          <w:szCs w:val="24"/>
        </w:rPr>
        <w:t xml:space="preserve">Lorsque la déambulation physique est dépassée et que la personne n’a plus les capacités de se déplacer, alors elle entre dans la période des soins de confort (période 4). Durant cette période, la personne se trouve dans un premier temps en fauteuil roulant puis </w:t>
      </w:r>
      <w:r w:rsidR="009F5027">
        <w:rPr>
          <w:rFonts w:ascii="Times New Roman" w:hAnsi="Times New Roman" w:cs="Times New Roman"/>
          <w:sz w:val="24"/>
          <w:szCs w:val="24"/>
        </w:rPr>
        <w:t xml:space="preserve">alitée, elle ne s’exprime plus, sinon par des </w:t>
      </w:r>
      <w:r w:rsidR="009F5027" w:rsidRPr="009F5027">
        <w:rPr>
          <w:rFonts w:ascii="Times New Roman" w:hAnsi="Times New Roman" w:cs="Times New Roman"/>
          <w:sz w:val="24"/>
          <w:szCs w:val="24"/>
        </w:rPr>
        <w:t>gémissements n’expri</w:t>
      </w:r>
      <w:r w:rsidR="009F5027">
        <w:rPr>
          <w:rFonts w:ascii="Times New Roman" w:hAnsi="Times New Roman" w:cs="Times New Roman"/>
          <w:sz w:val="24"/>
          <w:szCs w:val="24"/>
        </w:rPr>
        <w:t>mant pas forcément une douleur. En effet, ils peuvent être la poursuite psychique de la déambulation physique qui ne peut plus être. Lors de cette période, l’accompagnement devient plus soignant qu’éducatif ainsi, une v</w:t>
      </w:r>
      <w:r w:rsidR="009F5027" w:rsidRPr="009F5027">
        <w:rPr>
          <w:rFonts w:ascii="Times New Roman" w:hAnsi="Times New Roman" w:cs="Times New Roman"/>
          <w:sz w:val="24"/>
          <w:szCs w:val="24"/>
        </w:rPr>
        <w:t xml:space="preserve">igilance </w:t>
      </w:r>
      <w:r w:rsidR="009F5027">
        <w:rPr>
          <w:rFonts w:ascii="Times New Roman" w:hAnsi="Times New Roman" w:cs="Times New Roman"/>
          <w:sz w:val="24"/>
          <w:szCs w:val="24"/>
        </w:rPr>
        <w:t xml:space="preserve">est </w:t>
      </w:r>
      <w:r w:rsidR="009F5027" w:rsidRPr="009F5027">
        <w:rPr>
          <w:rFonts w:ascii="Times New Roman" w:hAnsi="Times New Roman" w:cs="Times New Roman"/>
          <w:sz w:val="24"/>
          <w:szCs w:val="24"/>
        </w:rPr>
        <w:t>à porter sur l’état cutané, l’alimentation et l’hydratation.</w:t>
      </w:r>
      <w:r w:rsidR="009F5027">
        <w:rPr>
          <w:rFonts w:ascii="Times New Roman" w:hAnsi="Times New Roman" w:cs="Times New Roman"/>
          <w:sz w:val="24"/>
          <w:szCs w:val="24"/>
        </w:rPr>
        <w:t xml:space="preserve"> Le matériel doit être adapté (lit médicalisé, matelas à air, le tout en location) comme l’alimentation (</w:t>
      </w:r>
      <w:r w:rsidR="009F5027" w:rsidRPr="009F5027">
        <w:rPr>
          <w:rFonts w:ascii="Times New Roman" w:hAnsi="Times New Roman" w:cs="Times New Roman"/>
          <w:sz w:val="24"/>
          <w:szCs w:val="24"/>
        </w:rPr>
        <w:t>eaux gélifiées, repas sucrés, fractionnés, enrichis</w:t>
      </w:r>
      <w:r w:rsidR="009F5027">
        <w:rPr>
          <w:rFonts w:ascii="Times New Roman" w:hAnsi="Times New Roman" w:cs="Times New Roman"/>
          <w:sz w:val="24"/>
          <w:szCs w:val="24"/>
        </w:rPr>
        <w:t>…). Les temps de veille et de repos doivent s’ajuster à la carte (levers courts).</w:t>
      </w:r>
    </w:p>
    <w:p w:rsidR="009F5027" w:rsidRPr="009F5027" w:rsidRDefault="009F5027" w:rsidP="009F5027">
      <w:pPr>
        <w:jc w:val="both"/>
        <w:rPr>
          <w:rFonts w:ascii="Times New Roman" w:hAnsi="Times New Roman" w:cs="Times New Roman"/>
          <w:sz w:val="24"/>
          <w:szCs w:val="24"/>
        </w:rPr>
      </w:pPr>
      <w:r>
        <w:rPr>
          <w:rFonts w:ascii="Times New Roman" w:hAnsi="Times New Roman" w:cs="Times New Roman"/>
          <w:sz w:val="24"/>
          <w:szCs w:val="24"/>
        </w:rPr>
        <w:t>Malgré ce tableau, l</w:t>
      </w:r>
      <w:r w:rsidRPr="009F5027">
        <w:rPr>
          <w:rFonts w:ascii="Times New Roman" w:hAnsi="Times New Roman" w:cs="Times New Roman"/>
          <w:sz w:val="24"/>
          <w:szCs w:val="24"/>
        </w:rPr>
        <w:t xml:space="preserve">a poursuite de l’accompagnement sur le lieu de </w:t>
      </w:r>
      <w:r>
        <w:rPr>
          <w:rFonts w:ascii="Times New Roman" w:hAnsi="Times New Roman" w:cs="Times New Roman"/>
          <w:sz w:val="24"/>
          <w:szCs w:val="24"/>
        </w:rPr>
        <w:t>vie est possible en lien avec les professionnels libéraux, l</w:t>
      </w:r>
      <w:r w:rsidRPr="009F5027">
        <w:rPr>
          <w:rFonts w:ascii="Times New Roman" w:hAnsi="Times New Roman" w:cs="Times New Roman"/>
          <w:sz w:val="24"/>
          <w:szCs w:val="24"/>
        </w:rPr>
        <w:t>’H</w:t>
      </w:r>
      <w:r>
        <w:rPr>
          <w:rFonts w:ascii="Times New Roman" w:hAnsi="Times New Roman" w:cs="Times New Roman"/>
          <w:sz w:val="24"/>
          <w:szCs w:val="24"/>
        </w:rPr>
        <w:t>ospitalisation à Domicile (HAD), l</w:t>
      </w:r>
      <w:r w:rsidRPr="009F5027">
        <w:rPr>
          <w:rFonts w:ascii="Times New Roman" w:hAnsi="Times New Roman" w:cs="Times New Roman"/>
          <w:sz w:val="24"/>
          <w:szCs w:val="24"/>
        </w:rPr>
        <w:t>es Services de Soin</w:t>
      </w:r>
      <w:r>
        <w:rPr>
          <w:rFonts w:ascii="Times New Roman" w:hAnsi="Times New Roman" w:cs="Times New Roman"/>
          <w:sz w:val="24"/>
          <w:szCs w:val="24"/>
        </w:rPr>
        <w:t>s Infirmiers à Domicile (SSIAD) et l</w:t>
      </w:r>
      <w:r w:rsidRPr="009F5027">
        <w:rPr>
          <w:rFonts w:ascii="Times New Roman" w:hAnsi="Times New Roman" w:cs="Times New Roman"/>
          <w:sz w:val="24"/>
          <w:szCs w:val="24"/>
        </w:rPr>
        <w:t>es Equipes Mobiles de Soins Palliatifs (EMSP).</w:t>
      </w:r>
      <w:r>
        <w:rPr>
          <w:rFonts w:ascii="Times New Roman" w:hAnsi="Times New Roman" w:cs="Times New Roman"/>
          <w:sz w:val="24"/>
          <w:szCs w:val="24"/>
        </w:rPr>
        <w:t xml:space="preserve"> </w:t>
      </w:r>
      <w:r w:rsidRPr="009F5027">
        <w:rPr>
          <w:rFonts w:ascii="Times New Roman" w:hAnsi="Times New Roman" w:cs="Times New Roman"/>
          <w:sz w:val="24"/>
          <w:szCs w:val="24"/>
        </w:rPr>
        <w:t>L’accom</w:t>
      </w:r>
      <w:r>
        <w:rPr>
          <w:rFonts w:ascii="Times New Roman" w:hAnsi="Times New Roman" w:cs="Times New Roman"/>
          <w:sz w:val="24"/>
          <w:szCs w:val="24"/>
        </w:rPr>
        <w:t>pagnement jusqu’à la fin de vie peut se faire sur n’importe quel établissement si l’équipe y est préparée et si un travail est fait sur la</w:t>
      </w:r>
      <w:r w:rsidRPr="009F5027">
        <w:rPr>
          <w:rFonts w:ascii="Times New Roman" w:hAnsi="Times New Roman" w:cs="Times New Roman"/>
          <w:sz w:val="24"/>
          <w:szCs w:val="24"/>
        </w:rPr>
        <w:t xml:space="preserve"> question des directives anticipées</w:t>
      </w:r>
      <w:r>
        <w:rPr>
          <w:rFonts w:ascii="Times New Roman" w:hAnsi="Times New Roman" w:cs="Times New Roman"/>
          <w:sz w:val="24"/>
          <w:szCs w:val="24"/>
        </w:rPr>
        <w:t>.</w:t>
      </w:r>
    </w:p>
    <w:p w:rsidR="00B6320C" w:rsidRDefault="00B6320C" w:rsidP="000A739A">
      <w:pPr>
        <w:jc w:val="both"/>
        <w:rPr>
          <w:rFonts w:ascii="Times New Roman" w:hAnsi="Times New Roman" w:cs="Times New Roman"/>
          <w:b/>
          <w:sz w:val="24"/>
          <w:szCs w:val="24"/>
        </w:rPr>
      </w:pPr>
    </w:p>
    <w:p w:rsidR="00D115EA" w:rsidRPr="00D115EA" w:rsidRDefault="00D115EA" w:rsidP="000A739A">
      <w:pPr>
        <w:jc w:val="both"/>
        <w:rPr>
          <w:rFonts w:ascii="Times New Roman" w:hAnsi="Times New Roman" w:cs="Times New Roman"/>
          <w:b/>
          <w:sz w:val="24"/>
          <w:szCs w:val="24"/>
        </w:rPr>
      </w:pPr>
      <w:r w:rsidRPr="00D115EA">
        <w:rPr>
          <w:rFonts w:ascii="Times New Roman" w:hAnsi="Times New Roman" w:cs="Times New Roman"/>
          <w:b/>
          <w:sz w:val="24"/>
          <w:szCs w:val="24"/>
        </w:rPr>
        <w:t>5. Similitudes entre le vieillissement des personnes porteuses de Trisomie 21 et les personnes présentant une démence de type Alzheimer.</w:t>
      </w:r>
    </w:p>
    <w:p w:rsidR="00D115EA" w:rsidRPr="00D115EA" w:rsidRDefault="00D115EA" w:rsidP="00D115EA">
      <w:pPr>
        <w:jc w:val="both"/>
        <w:rPr>
          <w:rFonts w:ascii="Times New Roman" w:hAnsi="Times New Roman" w:cs="Times New Roman"/>
          <w:sz w:val="24"/>
          <w:szCs w:val="24"/>
        </w:rPr>
      </w:pPr>
      <w:r>
        <w:rPr>
          <w:rFonts w:ascii="Times New Roman" w:hAnsi="Times New Roman" w:cs="Times New Roman"/>
          <w:sz w:val="24"/>
          <w:szCs w:val="24"/>
        </w:rPr>
        <w:t xml:space="preserve">Ce tableau peut sembler proche de celui présenté par les personnes souffrant de la maladie d’Alzheimer. En effet, les </w:t>
      </w:r>
      <w:r w:rsidRPr="00D115EA">
        <w:rPr>
          <w:rFonts w:ascii="Times New Roman" w:hAnsi="Times New Roman" w:cs="Times New Roman"/>
          <w:sz w:val="24"/>
          <w:szCs w:val="24"/>
        </w:rPr>
        <w:t>fait</w:t>
      </w:r>
      <w:r>
        <w:rPr>
          <w:rFonts w:ascii="Times New Roman" w:hAnsi="Times New Roman" w:cs="Times New Roman"/>
          <w:sz w:val="24"/>
          <w:szCs w:val="24"/>
        </w:rPr>
        <w:t>s observables sont similaires (</w:t>
      </w:r>
      <w:r w:rsidRPr="00D115EA">
        <w:rPr>
          <w:rFonts w:ascii="Times New Roman" w:hAnsi="Times New Roman" w:cs="Times New Roman"/>
          <w:sz w:val="24"/>
          <w:szCs w:val="24"/>
        </w:rPr>
        <w:t>troubles cognitifs, du comportement, retrait social…</w:t>
      </w:r>
      <w:r>
        <w:rPr>
          <w:rFonts w:ascii="Times New Roman" w:hAnsi="Times New Roman" w:cs="Times New Roman"/>
          <w:sz w:val="24"/>
          <w:szCs w:val="24"/>
        </w:rPr>
        <w:t>) mais le vécu est différent. L</w:t>
      </w:r>
      <w:r w:rsidRPr="00D115EA">
        <w:rPr>
          <w:rFonts w:ascii="Times New Roman" w:hAnsi="Times New Roman" w:cs="Times New Roman"/>
          <w:sz w:val="24"/>
          <w:szCs w:val="24"/>
        </w:rPr>
        <w:t>es personnes souffrant de la maladie d’Alzheimer ont une compréhension de la maladie, une conscience des difficultés et un souvenir du « avant », notamment vis-à-vis du statut social perdu, en lien avec la conscience du temps pa</w:t>
      </w:r>
      <w:r w:rsidR="00B6320C">
        <w:rPr>
          <w:rFonts w:ascii="Times New Roman" w:hAnsi="Times New Roman" w:cs="Times New Roman"/>
          <w:sz w:val="24"/>
          <w:szCs w:val="24"/>
        </w:rPr>
        <w:t xml:space="preserve">ssé. </w:t>
      </w:r>
      <w:r w:rsidRPr="00D115EA">
        <w:rPr>
          <w:rFonts w:ascii="Times New Roman" w:hAnsi="Times New Roman" w:cs="Times New Roman"/>
          <w:sz w:val="24"/>
          <w:szCs w:val="24"/>
        </w:rPr>
        <w:t xml:space="preserve">Les personnes porteuses de T21 ne semblent pas avoir la compréhension de leur vieillissement, du fait de la difficulté à se représenter le temps, </w:t>
      </w:r>
      <w:r w:rsidR="00B6320C">
        <w:rPr>
          <w:rFonts w:ascii="Times New Roman" w:hAnsi="Times New Roman" w:cs="Times New Roman"/>
          <w:sz w:val="24"/>
          <w:szCs w:val="24"/>
        </w:rPr>
        <w:t xml:space="preserve">elles </w:t>
      </w:r>
      <w:r w:rsidRPr="00D115EA">
        <w:rPr>
          <w:rFonts w:ascii="Times New Roman" w:hAnsi="Times New Roman" w:cs="Times New Roman"/>
          <w:sz w:val="24"/>
          <w:szCs w:val="24"/>
        </w:rPr>
        <w:t>n’évoquent pas un avant, ne sont pas dans un discours du passé.</w:t>
      </w:r>
    </w:p>
    <w:p w:rsidR="00D115EA" w:rsidRDefault="00B6320C" w:rsidP="00D115EA">
      <w:pPr>
        <w:jc w:val="both"/>
        <w:rPr>
          <w:rFonts w:ascii="Times New Roman" w:hAnsi="Times New Roman" w:cs="Times New Roman"/>
          <w:sz w:val="24"/>
          <w:szCs w:val="24"/>
        </w:rPr>
      </w:pPr>
      <w:r>
        <w:rPr>
          <w:rFonts w:ascii="Times New Roman" w:hAnsi="Times New Roman" w:cs="Times New Roman"/>
          <w:sz w:val="24"/>
          <w:szCs w:val="24"/>
        </w:rPr>
        <w:t>Dans notre établissement, nous disposons d’une chambre d’accueil temporaire située dans une unité où résident de façon permanente douze personnes présentant une démence de type Alzheimer. Nous avons par trois fois fait l’expérience sur cette chambre de personnes porteuses de trisomie 21. Cette maigre expérience n’est, à nos yeux, pas concluante. En effet, chacun se trouve confronté à la d</w:t>
      </w:r>
      <w:r w:rsidR="00D115EA" w:rsidRPr="00D115EA">
        <w:rPr>
          <w:rFonts w:ascii="Times New Roman" w:hAnsi="Times New Roman" w:cs="Times New Roman"/>
          <w:sz w:val="24"/>
          <w:szCs w:val="24"/>
        </w:rPr>
        <w:t>ifférence de génération</w:t>
      </w:r>
      <w:r>
        <w:rPr>
          <w:rFonts w:ascii="Times New Roman" w:hAnsi="Times New Roman" w:cs="Times New Roman"/>
          <w:sz w:val="24"/>
          <w:szCs w:val="24"/>
        </w:rPr>
        <w:t xml:space="preserve"> (40-50 ans pour les uns contre 75-80 ans pour les autres). Les personnes âgées ont un regard plutôt négatif sur le handicap et ceci mêlé à la </w:t>
      </w:r>
      <w:r w:rsidR="00273465">
        <w:rPr>
          <w:rFonts w:ascii="Times New Roman" w:hAnsi="Times New Roman" w:cs="Times New Roman"/>
          <w:sz w:val="24"/>
          <w:szCs w:val="24"/>
        </w:rPr>
        <w:t>désinhibition et</w:t>
      </w:r>
      <w:r>
        <w:rPr>
          <w:rFonts w:ascii="Times New Roman" w:hAnsi="Times New Roman" w:cs="Times New Roman"/>
          <w:sz w:val="24"/>
          <w:szCs w:val="24"/>
        </w:rPr>
        <w:t xml:space="preserve"> aux</w:t>
      </w:r>
      <w:r w:rsidR="00D115EA" w:rsidRPr="00D115EA">
        <w:rPr>
          <w:rFonts w:ascii="Times New Roman" w:hAnsi="Times New Roman" w:cs="Times New Roman"/>
          <w:sz w:val="24"/>
          <w:szCs w:val="24"/>
        </w:rPr>
        <w:t xml:space="preserve"> ré</w:t>
      </w:r>
      <w:r>
        <w:rPr>
          <w:rFonts w:ascii="Times New Roman" w:hAnsi="Times New Roman" w:cs="Times New Roman"/>
          <w:sz w:val="24"/>
          <w:szCs w:val="24"/>
        </w:rPr>
        <w:t xml:space="preserve">pétitions liées à la pathologie donnait </w:t>
      </w:r>
      <w:r w:rsidR="009317E7">
        <w:rPr>
          <w:rFonts w:ascii="Times New Roman" w:hAnsi="Times New Roman" w:cs="Times New Roman"/>
          <w:sz w:val="24"/>
          <w:szCs w:val="24"/>
        </w:rPr>
        <w:t>une situation invivable</w:t>
      </w:r>
      <w:r>
        <w:rPr>
          <w:rFonts w:ascii="Times New Roman" w:hAnsi="Times New Roman" w:cs="Times New Roman"/>
          <w:sz w:val="24"/>
          <w:szCs w:val="24"/>
        </w:rPr>
        <w:t xml:space="preserve"> pour la personne porteuse de trisomie 21 conduisant à la majoration de ses troubles.</w:t>
      </w:r>
    </w:p>
    <w:p w:rsidR="00B6320C" w:rsidRDefault="00B6320C" w:rsidP="00D115EA">
      <w:pPr>
        <w:jc w:val="both"/>
        <w:rPr>
          <w:rFonts w:ascii="Times New Roman" w:hAnsi="Times New Roman" w:cs="Times New Roman"/>
          <w:b/>
          <w:sz w:val="24"/>
          <w:szCs w:val="24"/>
        </w:rPr>
      </w:pPr>
    </w:p>
    <w:p w:rsidR="00B6320C" w:rsidRPr="00B6320C" w:rsidRDefault="00B6320C" w:rsidP="00D115EA">
      <w:pPr>
        <w:jc w:val="both"/>
        <w:rPr>
          <w:rFonts w:ascii="Times New Roman" w:hAnsi="Times New Roman" w:cs="Times New Roman"/>
          <w:b/>
          <w:sz w:val="24"/>
          <w:szCs w:val="24"/>
        </w:rPr>
      </w:pPr>
      <w:r w:rsidRPr="00B6320C">
        <w:rPr>
          <w:rFonts w:ascii="Times New Roman" w:hAnsi="Times New Roman" w:cs="Times New Roman"/>
          <w:b/>
          <w:sz w:val="24"/>
          <w:szCs w:val="24"/>
        </w:rPr>
        <w:t xml:space="preserve">6. </w:t>
      </w:r>
      <w:r w:rsidR="00034CC0">
        <w:rPr>
          <w:rFonts w:ascii="Times New Roman" w:hAnsi="Times New Roman" w:cs="Times New Roman"/>
          <w:b/>
          <w:sz w:val="24"/>
          <w:szCs w:val="24"/>
        </w:rPr>
        <w:t>Retour sur les hypothèses de départ</w:t>
      </w:r>
    </w:p>
    <w:p w:rsidR="00EC5A4B" w:rsidRPr="00EC5A4B" w:rsidRDefault="00EC5A4B" w:rsidP="00A76F82">
      <w:pPr>
        <w:jc w:val="both"/>
        <w:rPr>
          <w:rFonts w:ascii="Times New Roman" w:hAnsi="Times New Roman" w:cs="Times New Roman"/>
          <w:sz w:val="24"/>
          <w:szCs w:val="24"/>
        </w:rPr>
      </w:pPr>
      <w:r>
        <w:rPr>
          <w:rFonts w:ascii="Times New Roman" w:hAnsi="Times New Roman" w:cs="Times New Roman"/>
          <w:sz w:val="24"/>
          <w:szCs w:val="24"/>
        </w:rPr>
        <w:t>Notre première hypothèse qui était que l</w:t>
      </w:r>
      <w:r w:rsidRPr="00EC5A4B">
        <w:rPr>
          <w:rFonts w:ascii="Times New Roman" w:hAnsi="Times New Roman" w:cs="Times New Roman"/>
          <w:sz w:val="24"/>
          <w:szCs w:val="24"/>
        </w:rPr>
        <w:t>e vieillissement des personnes Trisomique 21 se fai</w:t>
      </w:r>
      <w:r>
        <w:rPr>
          <w:rFonts w:ascii="Times New Roman" w:hAnsi="Times New Roman" w:cs="Times New Roman"/>
          <w:sz w:val="24"/>
          <w:szCs w:val="24"/>
        </w:rPr>
        <w:t>sai</w:t>
      </w:r>
      <w:r w:rsidRPr="00EC5A4B">
        <w:rPr>
          <w:rFonts w:ascii="Times New Roman" w:hAnsi="Times New Roman" w:cs="Times New Roman"/>
          <w:sz w:val="24"/>
          <w:szCs w:val="24"/>
        </w:rPr>
        <w:t>t par paliers identifiables</w:t>
      </w:r>
      <w:r>
        <w:rPr>
          <w:rFonts w:ascii="Times New Roman" w:hAnsi="Times New Roman" w:cs="Times New Roman"/>
          <w:sz w:val="24"/>
          <w:szCs w:val="24"/>
        </w:rPr>
        <w:t xml:space="preserve"> a été validée, tout en tenant compte de notre échantillon réduit. C</w:t>
      </w:r>
      <w:r w:rsidRPr="00EC5A4B">
        <w:rPr>
          <w:rFonts w:ascii="Times New Roman" w:hAnsi="Times New Roman" w:cs="Times New Roman"/>
          <w:sz w:val="24"/>
          <w:szCs w:val="24"/>
        </w:rPr>
        <w:t>ette meilleure connaissance permet un accompagnement plus ajusté</w:t>
      </w:r>
    </w:p>
    <w:p w:rsidR="003E5DC2" w:rsidRDefault="00EC5A4B" w:rsidP="00A76F82">
      <w:pPr>
        <w:jc w:val="both"/>
        <w:rPr>
          <w:rFonts w:ascii="Times New Roman" w:hAnsi="Times New Roman" w:cs="Times New Roman"/>
          <w:sz w:val="24"/>
          <w:szCs w:val="24"/>
        </w:rPr>
      </w:pPr>
      <w:r>
        <w:rPr>
          <w:rFonts w:ascii="Times New Roman" w:hAnsi="Times New Roman" w:cs="Times New Roman"/>
          <w:sz w:val="24"/>
          <w:szCs w:val="24"/>
        </w:rPr>
        <w:t>Notre seconde hypothèse qui était que l</w:t>
      </w:r>
      <w:r w:rsidRPr="00EC5A4B">
        <w:rPr>
          <w:rFonts w:ascii="Times New Roman" w:hAnsi="Times New Roman" w:cs="Times New Roman"/>
          <w:sz w:val="24"/>
          <w:szCs w:val="24"/>
        </w:rPr>
        <w:t>es formations éducatives valorisent le développement de l’autonomie au détriment de l’adaptation au vieillissement mettant certains professionnels en difficulté p</w:t>
      </w:r>
      <w:r>
        <w:rPr>
          <w:rFonts w:ascii="Times New Roman" w:hAnsi="Times New Roman" w:cs="Times New Roman"/>
          <w:sz w:val="24"/>
          <w:szCs w:val="24"/>
        </w:rPr>
        <w:t xml:space="preserve">our ajuster leur positionnement, n’a pas pu être confirmée ou infirmée par cette étude. Cette recherche </w:t>
      </w:r>
      <w:r w:rsidRPr="00EC5A4B">
        <w:rPr>
          <w:rFonts w:ascii="Times New Roman" w:hAnsi="Times New Roman" w:cs="Times New Roman"/>
          <w:sz w:val="24"/>
          <w:szCs w:val="24"/>
        </w:rPr>
        <w:t>met en avant l’importance du management et du recrutement</w:t>
      </w:r>
      <w:r w:rsidR="00A76F82">
        <w:rPr>
          <w:rFonts w:ascii="Times New Roman" w:hAnsi="Times New Roman" w:cs="Times New Roman"/>
          <w:sz w:val="24"/>
          <w:szCs w:val="24"/>
        </w:rPr>
        <w:t xml:space="preserve">. En effet, au-delà d’une formation, c’est la personnalité associée au parcours professionnel de </w:t>
      </w:r>
      <w:r w:rsidR="00DF4844">
        <w:rPr>
          <w:rFonts w:ascii="Times New Roman" w:hAnsi="Times New Roman" w:cs="Times New Roman"/>
          <w:sz w:val="24"/>
          <w:szCs w:val="24"/>
        </w:rPr>
        <w:t>chacun qui joue un</w:t>
      </w:r>
      <w:r w:rsidR="00A76F82">
        <w:rPr>
          <w:rFonts w:ascii="Times New Roman" w:hAnsi="Times New Roman" w:cs="Times New Roman"/>
          <w:sz w:val="24"/>
          <w:szCs w:val="24"/>
        </w:rPr>
        <w:t xml:space="preserve"> rôle déterminant. Ainsi, </w:t>
      </w:r>
      <w:r w:rsidR="00DF4844">
        <w:rPr>
          <w:rFonts w:ascii="Times New Roman" w:hAnsi="Times New Roman" w:cs="Times New Roman"/>
          <w:sz w:val="24"/>
          <w:szCs w:val="24"/>
        </w:rPr>
        <w:t xml:space="preserve">lors des recrutements actuels, </w:t>
      </w:r>
      <w:r w:rsidR="00A76F82">
        <w:rPr>
          <w:rFonts w:ascii="Times New Roman" w:hAnsi="Times New Roman" w:cs="Times New Roman"/>
          <w:sz w:val="24"/>
          <w:szCs w:val="24"/>
        </w:rPr>
        <w:t>l’accent est maintenant mis de façon plus explicite sur la question du vieillissement et sur la vision que les candidats en ont</w:t>
      </w:r>
      <w:r w:rsidR="00DF4844">
        <w:rPr>
          <w:rFonts w:ascii="Times New Roman" w:hAnsi="Times New Roman" w:cs="Times New Roman"/>
          <w:sz w:val="24"/>
          <w:szCs w:val="24"/>
        </w:rPr>
        <w:t xml:space="preserve">. </w:t>
      </w:r>
    </w:p>
    <w:p w:rsidR="00760A7B" w:rsidRDefault="00760A7B" w:rsidP="00A76F82">
      <w:pPr>
        <w:jc w:val="both"/>
        <w:rPr>
          <w:rFonts w:ascii="Times New Roman" w:hAnsi="Times New Roman" w:cs="Times New Roman"/>
          <w:sz w:val="24"/>
          <w:szCs w:val="24"/>
        </w:rPr>
      </w:pPr>
    </w:p>
    <w:p w:rsidR="00034CC0" w:rsidRPr="00034CC0" w:rsidRDefault="00034CC0" w:rsidP="00A76F82">
      <w:pPr>
        <w:jc w:val="both"/>
        <w:rPr>
          <w:rFonts w:ascii="Times New Roman" w:hAnsi="Times New Roman" w:cs="Times New Roman"/>
          <w:b/>
          <w:sz w:val="24"/>
          <w:szCs w:val="24"/>
        </w:rPr>
      </w:pPr>
      <w:r w:rsidRPr="00034CC0">
        <w:rPr>
          <w:rFonts w:ascii="Times New Roman" w:hAnsi="Times New Roman" w:cs="Times New Roman"/>
          <w:b/>
          <w:sz w:val="24"/>
          <w:szCs w:val="24"/>
        </w:rPr>
        <w:t>7. Préconisations et évolutions</w:t>
      </w:r>
    </w:p>
    <w:p w:rsidR="0027218E" w:rsidRDefault="00AA2985" w:rsidP="00A76F82">
      <w:pPr>
        <w:jc w:val="both"/>
        <w:rPr>
          <w:rFonts w:ascii="Times New Roman" w:hAnsi="Times New Roman" w:cs="Times New Roman"/>
          <w:sz w:val="24"/>
          <w:szCs w:val="24"/>
        </w:rPr>
      </w:pPr>
      <w:r>
        <w:rPr>
          <w:rFonts w:ascii="Times New Roman" w:hAnsi="Times New Roman" w:cs="Times New Roman"/>
          <w:sz w:val="24"/>
          <w:szCs w:val="24"/>
        </w:rPr>
        <w:t xml:space="preserve">Au vu des résultats et de notre expérience d’accompagnement, nous préconisons une </w:t>
      </w:r>
      <w:r w:rsidR="0027218E">
        <w:rPr>
          <w:rFonts w:ascii="Times New Roman" w:hAnsi="Times New Roman" w:cs="Times New Roman"/>
          <w:sz w:val="24"/>
          <w:szCs w:val="24"/>
        </w:rPr>
        <w:t>réflexion sur l’</w:t>
      </w:r>
      <w:r>
        <w:rPr>
          <w:rFonts w:ascii="Times New Roman" w:hAnsi="Times New Roman" w:cs="Times New Roman"/>
          <w:sz w:val="24"/>
          <w:szCs w:val="24"/>
        </w:rPr>
        <w:t xml:space="preserve">adaptation du quotidien </w:t>
      </w:r>
      <w:r w:rsidR="0027218E">
        <w:rPr>
          <w:rFonts w:ascii="Times New Roman" w:hAnsi="Times New Roman" w:cs="Times New Roman"/>
          <w:sz w:val="24"/>
          <w:szCs w:val="24"/>
        </w:rPr>
        <w:t>autour de</w:t>
      </w:r>
      <w:r>
        <w:rPr>
          <w:rFonts w:ascii="Times New Roman" w:hAnsi="Times New Roman" w:cs="Times New Roman"/>
          <w:sz w:val="24"/>
          <w:szCs w:val="24"/>
        </w:rPr>
        <w:t xml:space="preserve"> quatre plans :</w:t>
      </w:r>
      <w:r w:rsidR="0027218E">
        <w:rPr>
          <w:rFonts w:ascii="Times New Roman" w:hAnsi="Times New Roman" w:cs="Times New Roman"/>
          <w:sz w:val="24"/>
          <w:szCs w:val="24"/>
        </w:rPr>
        <w:t xml:space="preserve"> élaboration d’outils, aménagement de l’environnement, ajustement des rythmes et travailler sur le regard porté.</w:t>
      </w:r>
    </w:p>
    <w:p w:rsidR="0027218E" w:rsidRDefault="0027218E" w:rsidP="009317E7">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Elaboration d’</w:t>
      </w:r>
      <w:r w:rsidR="00CA033A">
        <w:rPr>
          <w:rFonts w:ascii="Times New Roman" w:hAnsi="Times New Roman" w:cs="Times New Roman"/>
          <w:sz w:val="24"/>
          <w:szCs w:val="24"/>
        </w:rPr>
        <w:t xml:space="preserve">outils permettant un repérage </w:t>
      </w:r>
      <w:r w:rsidR="009317E7">
        <w:rPr>
          <w:rFonts w:ascii="Times New Roman" w:hAnsi="Times New Roman" w:cs="Times New Roman"/>
          <w:sz w:val="24"/>
          <w:szCs w:val="24"/>
        </w:rPr>
        <w:t>adapté</w:t>
      </w:r>
      <w:r w:rsidR="00CA033A">
        <w:rPr>
          <w:rFonts w:ascii="Times New Roman" w:hAnsi="Times New Roman" w:cs="Times New Roman"/>
          <w:sz w:val="24"/>
          <w:szCs w:val="24"/>
        </w:rPr>
        <w:t xml:space="preserve"> dans le </w:t>
      </w:r>
      <w:r w:rsidR="009317E7">
        <w:rPr>
          <w:rFonts w:ascii="Times New Roman" w:hAnsi="Times New Roman" w:cs="Times New Roman"/>
          <w:sz w:val="24"/>
          <w:szCs w:val="24"/>
        </w:rPr>
        <w:t>temps</w:t>
      </w:r>
      <w:r w:rsidR="00CA033A">
        <w:rPr>
          <w:rFonts w:ascii="Times New Roman" w:hAnsi="Times New Roman" w:cs="Times New Roman"/>
          <w:sz w:val="24"/>
          <w:szCs w:val="24"/>
        </w:rPr>
        <w:t xml:space="preserve"> et l’espace. Il peut s’agir de supports visuels tels que des plannings d’activité, de tâches, de présence des professionnels, des pictogrammes de schéma corporel pour l’</w:t>
      </w:r>
      <w:r w:rsidR="009317E7">
        <w:rPr>
          <w:rFonts w:ascii="Times New Roman" w:hAnsi="Times New Roman" w:cs="Times New Roman"/>
          <w:sz w:val="24"/>
          <w:szCs w:val="24"/>
        </w:rPr>
        <w:t>accompagnement</w:t>
      </w:r>
      <w:r w:rsidR="00CA033A">
        <w:rPr>
          <w:rFonts w:ascii="Times New Roman" w:hAnsi="Times New Roman" w:cs="Times New Roman"/>
          <w:sz w:val="24"/>
          <w:szCs w:val="24"/>
        </w:rPr>
        <w:t xml:space="preserve"> à la douche …. Ces différents supports doivent toujours être pensés en fonction du sens et de la compréhension pour le résident. Sur le plan de l’alimentation, il s’agit là aussi de de penser et de simplifier les choses par une alimentation solidifiée permettant de manger avec les doigts, par la mise à disposition d’une unique </w:t>
      </w:r>
      <w:r w:rsidR="009317E7">
        <w:rPr>
          <w:rFonts w:ascii="Times New Roman" w:hAnsi="Times New Roman" w:cs="Times New Roman"/>
          <w:sz w:val="24"/>
          <w:szCs w:val="24"/>
        </w:rPr>
        <w:t>cuillère</w:t>
      </w:r>
      <w:r w:rsidR="00CA033A">
        <w:rPr>
          <w:rFonts w:ascii="Times New Roman" w:hAnsi="Times New Roman" w:cs="Times New Roman"/>
          <w:sz w:val="24"/>
          <w:szCs w:val="24"/>
        </w:rPr>
        <w:t xml:space="preserve"> plutôt que tous les </w:t>
      </w:r>
      <w:r w:rsidR="009317E7">
        <w:rPr>
          <w:rFonts w:ascii="Times New Roman" w:hAnsi="Times New Roman" w:cs="Times New Roman"/>
          <w:sz w:val="24"/>
          <w:szCs w:val="24"/>
        </w:rPr>
        <w:t>couverts</w:t>
      </w:r>
      <w:r w:rsidR="00CA033A">
        <w:rPr>
          <w:rFonts w:ascii="Times New Roman" w:hAnsi="Times New Roman" w:cs="Times New Roman"/>
          <w:sz w:val="24"/>
          <w:szCs w:val="24"/>
        </w:rPr>
        <w:t xml:space="preserve">, par des plats donnés un a un, </w:t>
      </w:r>
      <w:r w:rsidR="009317E7">
        <w:rPr>
          <w:rFonts w:ascii="Times New Roman" w:hAnsi="Times New Roman" w:cs="Times New Roman"/>
          <w:sz w:val="24"/>
          <w:szCs w:val="24"/>
        </w:rPr>
        <w:t>notamment</w:t>
      </w:r>
      <w:r w:rsidR="00CA033A">
        <w:rPr>
          <w:rFonts w:ascii="Times New Roman" w:hAnsi="Times New Roman" w:cs="Times New Roman"/>
          <w:sz w:val="24"/>
          <w:szCs w:val="24"/>
        </w:rPr>
        <w:t xml:space="preserve"> au petit déjeuner, afin que la personne accompagnée ne soit pas perdu</w:t>
      </w:r>
      <w:r w:rsidR="003C74A8">
        <w:rPr>
          <w:rFonts w:ascii="Times New Roman" w:hAnsi="Times New Roman" w:cs="Times New Roman"/>
          <w:sz w:val="24"/>
          <w:szCs w:val="24"/>
        </w:rPr>
        <w:t>e</w:t>
      </w:r>
      <w:r w:rsidR="00CA033A">
        <w:rPr>
          <w:rFonts w:ascii="Times New Roman" w:hAnsi="Times New Roman" w:cs="Times New Roman"/>
          <w:sz w:val="24"/>
          <w:szCs w:val="24"/>
        </w:rPr>
        <w:t xml:space="preserve"> par le cumul de stimulations que présente</w:t>
      </w:r>
      <w:r w:rsidR="003C74A8">
        <w:rPr>
          <w:rFonts w:ascii="Times New Roman" w:hAnsi="Times New Roman" w:cs="Times New Roman"/>
          <w:sz w:val="24"/>
          <w:szCs w:val="24"/>
        </w:rPr>
        <w:t>nt</w:t>
      </w:r>
      <w:r w:rsidR="00CA033A">
        <w:rPr>
          <w:rFonts w:ascii="Times New Roman" w:hAnsi="Times New Roman" w:cs="Times New Roman"/>
          <w:sz w:val="24"/>
          <w:szCs w:val="24"/>
        </w:rPr>
        <w:t xml:space="preserve"> tous les objets devant elle. D’autres outils peuvent être utilisés comme l’approche Snozelen ou bien la technique de la Validation pour la communication.</w:t>
      </w:r>
    </w:p>
    <w:p w:rsidR="009317E7" w:rsidRDefault="009317E7" w:rsidP="009317E7">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Un aménagement de l’environnement doit être pensé en partant des besoins </w:t>
      </w:r>
      <w:r w:rsidR="003C74A8">
        <w:rPr>
          <w:rFonts w:ascii="Times New Roman" w:hAnsi="Times New Roman" w:cs="Times New Roman"/>
          <w:sz w:val="24"/>
          <w:szCs w:val="24"/>
        </w:rPr>
        <w:t xml:space="preserve">repérés de la personne afin qu’ils se coordonnent : </w:t>
      </w:r>
      <w:r>
        <w:rPr>
          <w:rFonts w:ascii="Times New Roman" w:hAnsi="Times New Roman" w:cs="Times New Roman"/>
          <w:sz w:val="24"/>
          <w:szCs w:val="24"/>
        </w:rPr>
        <w:t xml:space="preserve"> </w:t>
      </w:r>
      <w:r w:rsidR="003C74A8">
        <w:rPr>
          <w:rFonts w:ascii="Times New Roman" w:hAnsi="Times New Roman" w:cs="Times New Roman"/>
          <w:sz w:val="24"/>
          <w:szCs w:val="24"/>
        </w:rPr>
        <w:t>manger ou s’installer à une table à part, positionner un matelas au sol lorsque la personne n’investit plus son lit, adapter, voire supprimer les éléments qui ne font plus sens chez la personne ce qui limite d’autant les mise en échec. Cela peut être par exemple, l’utilisation de produits corps et cheveux pour la douche (une seule manipulation de produit sans risque d’erreur), un meilleur positionnement d’une étagère, la suppression d’un élément de décoration au sol entrainent un risque de chute…</w:t>
      </w:r>
    </w:p>
    <w:p w:rsidR="003C74A8" w:rsidRDefault="003C74A8" w:rsidP="009317E7">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L’ajustement des rythmes où comment penser l’individuel dans le collectif. Il s’agit de s’ajuster là encore</w:t>
      </w:r>
      <w:r w:rsidR="004B0E9F">
        <w:rPr>
          <w:rFonts w:ascii="Times New Roman" w:hAnsi="Times New Roman" w:cs="Times New Roman"/>
          <w:sz w:val="24"/>
          <w:szCs w:val="24"/>
        </w:rPr>
        <w:t>,</w:t>
      </w:r>
      <w:r>
        <w:rPr>
          <w:rFonts w:ascii="Times New Roman" w:hAnsi="Times New Roman" w:cs="Times New Roman"/>
          <w:sz w:val="24"/>
          <w:szCs w:val="24"/>
        </w:rPr>
        <w:t xml:space="preserve"> au plus près des besoins de la personne : temps de repos plus important, levers plus tardifs, accompagnements plus longs, modification des activités proposées et diminution des temps d’activités, lai</w:t>
      </w:r>
      <w:r w:rsidR="004B0E9F">
        <w:rPr>
          <w:rFonts w:ascii="Times New Roman" w:hAnsi="Times New Roman" w:cs="Times New Roman"/>
          <w:sz w:val="24"/>
          <w:szCs w:val="24"/>
        </w:rPr>
        <w:t>s</w:t>
      </w:r>
      <w:r>
        <w:rPr>
          <w:rFonts w:ascii="Times New Roman" w:hAnsi="Times New Roman" w:cs="Times New Roman"/>
          <w:sz w:val="24"/>
          <w:szCs w:val="24"/>
        </w:rPr>
        <w:t xml:space="preserve">ser des temps calmes sans </w:t>
      </w:r>
      <w:r w:rsidR="004B0E9F">
        <w:rPr>
          <w:rFonts w:ascii="Times New Roman" w:hAnsi="Times New Roman" w:cs="Times New Roman"/>
          <w:sz w:val="24"/>
          <w:szCs w:val="24"/>
        </w:rPr>
        <w:t xml:space="preserve">stimulations, étayer progressivement dans l’accompagnement du </w:t>
      </w:r>
      <w:r w:rsidR="003F5DBC">
        <w:rPr>
          <w:rFonts w:ascii="Times New Roman" w:hAnsi="Times New Roman" w:cs="Times New Roman"/>
          <w:sz w:val="24"/>
          <w:szCs w:val="24"/>
        </w:rPr>
        <w:t>quotidien</w:t>
      </w:r>
      <w:r w:rsidR="004B0E9F">
        <w:rPr>
          <w:rFonts w:ascii="Times New Roman" w:hAnsi="Times New Roman" w:cs="Times New Roman"/>
          <w:sz w:val="24"/>
          <w:szCs w:val="24"/>
        </w:rPr>
        <w:t xml:space="preserve">, adapter le ton employé et les consignes pouvant aller jusqu’au non verbal. </w:t>
      </w:r>
      <w:r>
        <w:rPr>
          <w:rFonts w:ascii="Times New Roman" w:hAnsi="Times New Roman" w:cs="Times New Roman"/>
          <w:sz w:val="24"/>
          <w:szCs w:val="24"/>
        </w:rPr>
        <w:t xml:space="preserve">Ainsi les temps de repas peuvent être aménagés individuellement : manger seul a une petite table, dos au groupe, ou en chambre, avant le groupe ou après le groupe, à un moment où la personne est disposée. Cet </w:t>
      </w:r>
      <w:r w:rsidR="004B0E9F">
        <w:rPr>
          <w:rFonts w:ascii="Times New Roman" w:hAnsi="Times New Roman" w:cs="Times New Roman"/>
          <w:sz w:val="24"/>
          <w:szCs w:val="24"/>
        </w:rPr>
        <w:t>aménagement</w:t>
      </w:r>
      <w:r>
        <w:rPr>
          <w:rFonts w:ascii="Times New Roman" w:hAnsi="Times New Roman" w:cs="Times New Roman"/>
          <w:sz w:val="24"/>
          <w:szCs w:val="24"/>
        </w:rPr>
        <w:t xml:space="preserve"> du rythme </w:t>
      </w:r>
      <w:r w:rsidR="003F5DBC">
        <w:rPr>
          <w:rFonts w:ascii="Times New Roman" w:hAnsi="Times New Roman" w:cs="Times New Roman"/>
          <w:sz w:val="24"/>
          <w:szCs w:val="24"/>
        </w:rPr>
        <w:t xml:space="preserve">est pensé dans le but de simplifier le quotidien. Il </w:t>
      </w:r>
      <w:r>
        <w:rPr>
          <w:rFonts w:ascii="Times New Roman" w:hAnsi="Times New Roman" w:cs="Times New Roman"/>
          <w:sz w:val="24"/>
          <w:szCs w:val="24"/>
        </w:rPr>
        <w:t xml:space="preserve">est </w:t>
      </w:r>
      <w:r w:rsidR="003F5DBC">
        <w:rPr>
          <w:rFonts w:ascii="Times New Roman" w:hAnsi="Times New Roman" w:cs="Times New Roman"/>
          <w:sz w:val="24"/>
          <w:szCs w:val="24"/>
        </w:rPr>
        <w:t xml:space="preserve">cependant </w:t>
      </w:r>
      <w:r>
        <w:rPr>
          <w:rFonts w:ascii="Times New Roman" w:hAnsi="Times New Roman" w:cs="Times New Roman"/>
          <w:sz w:val="24"/>
          <w:szCs w:val="24"/>
        </w:rPr>
        <w:t>vécu au sein d’un collectif et q</w:t>
      </w:r>
      <w:r w:rsidR="004B0E9F">
        <w:rPr>
          <w:rFonts w:ascii="Times New Roman" w:hAnsi="Times New Roman" w:cs="Times New Roman"/>
          <w:sz w:val="24"/>
          <w:szCs w:val="24"/>
        </w:rPr>
        <w:t>ui vient questionner ce changement individuel. La mise en mot des professionnels est nécessaire vis-à-vis des autres résidents, il est primordial de parler du vieillissement et de l’évolution des besoins.</w:t>
      </w:r>
    </w:p>
    <w:p w:rsidR="004B0E9F" w:rsidRDefault="004B0E9F" w:rsidP="004B0E9F">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L’adaptation de l’individuel dans le collectif nous amène à la question du regard porté par les professionnels et les résidents sur la question des pertes liées au vieillissement. C’est à l’équipe de porter et de véhiculer une vision bienveillante et positive de la situation. Si l’équipe est en difficulté ou en résistance, le groupe le sera aussi. Pour les professionnels, différents espaces permettent cette mise en mots comme les réunions d’équipe ou l’analyse des pratiques professionnelles). Pour les résidents également il est important de permettre des espaces de paroles pour qu’ils puissent exprimer leurs ressentis. Mettre des mots simples, aussi souvent que nécessaire, sans pour autant stigmatiser, afin de véhiculer une vis</w:t>
      </w:r>
      <w:r w:rsidR="003F5DBC">
        <w:rPr>
          <w:rFonts w:ascii="Times New Roman" w:hAnsi="Times New Roman" w:cs="Times New Roman"/>
          <w:sz w:val="24"/>
          <w:szCs w:val="24"/>
        </w:rPr>
        <w:t>i</w:t>
      </w:r>
      <w:r>
        <w:rPr>
          <w:rFonts w:ascii="Times New Roman" w:hAnsi="Times New Roman" w:cs="Times New Roman"/>
          <w:sz w:val="24"/>
          <w:szCs w:val="24"/>
        </w:rPr>
        <w:t>on apaisée : le vieillissement n’est pas une maladie mais une évolution naturelle de la vie.</w:t>
      </w:r>
    </w:p>
    <w:p w:rsidR="003F5DBC" w:rsidRPr="003F5DBC" w:rsidRDefault="003F5DBC" w:rsidP="003F5DBC">
      <w:pPr>
        <w:jc w:val="both"/>
        <w:rPr>
          <w:rFonts w:ascii="Times New Roman" w:hAnsi="Times New Roman" w:cs="Times New Roman"/>
          <w:sz w:val="24"/>
          <w:szCs w:val="24"/>
        </w:rPr>
      </w:pPr>
      <w:r>
        <w:rPr>
          <w:rFonts w:ascii="Times New Roman" w:hAnsi="Times New Roman" w:cs="Times New Roman"/>
          <w:sz w:val="24"/>
          <w:szCs w:val="24"/>
        </w:rPr>
        <w:t>Cette étude a été menée auprès de résidents porteurs de Trisom</w:t>
      </w:r>
      <w:r w:rsidR="00D92E72">
        <w:rPr>
          <w:rFonts w:ascii="Times New Roman" w:hAnsi="Times New Roman" w:cs="Times New Roman"/>
          <w:sz w:val="24"/>
          <w:szCs w:val="24"/>
        </w:rPr>
        <w:t>i</w:t>
      </w:r>
      <w:r>
        <w:rPr>
          <w:rFonts w:ascii="Times New Roman" w:hAnsi="Times New Roman" w:cs="Times New Roman"/>
          <w:sz w:val="24"/>
          <w:szCs w:val="24"/>
        </w:rPr>
        <w:t>e 21. Entre la phase de recueil de donnée (2016) et celle de l’interprétation des résultats (2018), chaque résident a évolué dans son vieillissement. Nous constatons aujourd’hui que la description des différente</w:t>
      </w:r>
      <w:r w:rsidR="00A76F82">
        <w:rPr>
          <w:rFonts w:ascii="Times New Roman" w:hAnsi="Times New Roman" w:cs="Times New Roman"/>
          <w:sz w:val="24"/>
          <w:szCs w:val="24"/>
        </w:rPr>
        <w:t>s périodes s’applique également aux autres résidents en situation de handicap (déficience intellectuelles, pathologie psychiatrique).</w:t>
      </w:r>
      <w:r w:rsidR="00D92E72">
        <w:rPr>
          <w:rFonts w:ascii="Times New Roman" w:hAnsi="Times New Roman" w:cs="Times New Roman"/>
          <w:sz w:val="24"/>
          <w:szCs w:val="24"/>
        </w:rPr>
        <w:t xml:space="preserve"> Sans prétention nous souhaitons apporter des balises aux différents professionnels accompagnant des personnes en situation de handicap, afin qu’ils puissent s’orienter dans le tableau que peut présenter un usager qui vieilli. Les préconisations sont des adaptations qui peuvent être pensées dans tout lieux de vie et qui ne nécessitent pas de moyens humains supplémentaires. Les usagers s’adaptent un certain temps aux contraintes de l’institution, à l’aube de leur vie, c’est à l’institution de faire cette adaptation pour eux.</w:t>
      </w:r>
    </w:p>
    <w:p w:rsidR="00352C83" w:rsidRDefault="00352C83" w:rsidP="008264E3">
      <w:pPr>
        <w:jc w:val="both"/>
        <w:rPr>
          <w:rFonts w:ascii="Times New Roman" w:hAnsi="Times New Roman" w:cs="Times New Roman"/>
          <w:b/>
          <w:sz w:val="24"/>
          <w:szCs w:val="24"/>
        </w:rPr>
      </w:pPr>
    </w:p>
    <w:p w:rsidR="008264E3" w:rsidRPr="008E454E" w:rsidRDefault="00CC77DA" w:rsidP="008264E3">
      <w:pPr>
        <w:jc w:val="both"/>
        <w:rPr>
          <w:rFonts w:ascii="Times New Roman" w:hAnsi="Times New Roman" w:cs="Times New Roman"/>
          <w:b/>
          <w:sz w:val="24"/>
          <w:szCs w:val="24"/>
        </w:rPr>
      </w:pPr>
      <w:r>
        <w:rPr>
          <w:rFonts w:ascii="Times New Roman" w:hAnsi="Times New Roman" w:cs="Times New Roman"/>
          <w:b/>
          <w:sz w:val="24"/>
          <w:szCs w:val="24"/>
        </w:rPr>
        <w:t>8</w:t>
      </w:r>
      <w:r w:rsidR="008264E3" w:rsidRPr="008E454E">
        <w:rPr>
          <w:rFonts w:ascii="Times New Roman" w:hAnsi="Times New Roman" w:cs="Times New Roman"/>
          <w:b/>
          <w:sz w:val="24"/>
          <w:szCs w:val="24"/>
        </w:rPr>
        <w:t>- Bibliographie</w:t>
      </w:r>
    </w:p>
    <w:p w:rsidR="00095D4E" w:rsidRDefault="00095D4E" w:rsidP="00B22253">
      <w:pPr>
        <w:rPr>
          <w:rFonts w:ascii="Times New Roman" w:hAnsi="Times New Roman" w:cs="Times New Roman"/>
          <w:i/>
          <w:color w:val="1F497D" w:themeColor="text2"/>
          <w:sz w:val="24"/>
          <w:szCs w:val="24"/>
        </w:rPr>
      </w:pPr>
    </w:p>
    <w:p w:rsidR="00130227" w:rsidRPr="00E455E8" w:rsidRDefault="002A1563" w:rsidP="00E455E8">
      <w:pPr>
        <w:pStyle w:val="Titre1"/>
        <w:spacing w:before="0" w:after="200"/>
        <w:rPr>
          <w:rFonts w:ascii="Times New Roman" w:hAnsi="Times New Roman" w:cs="Times New Roman"/>
          <w:color w:val="auto"/>
          <w:sz w:val="24"/>
          <w:szCs w:val="24"/>
        </w:rPr>
      </w:pPr>
      <w:r w:rsidRPr="002A1563">
        <w:rPr>
          <w:rFonts w:ascii="Times New Roman" w:hAnsi="Times New Roman" w:cs="Times New Roman"/>
          <w:color w:val="auto"/>
          <w:sz w:val="24"/>
          <w:szCs w:val="24"/>
        </w:rPr>
        <w:t>Alexander G.- E., Saunders A.-M., Szczepanik J., Strassburger T.-L., Pietrini P., Dani A., Furey M.-L., Mentis M.-J., Roses A.-D., Rapoport S.-I.,  Schapiro M.-B., (1997), « Relation of age and </w:t>
      </w:r>
      <w:r w:rsidRPr="002A1563">
        <w:rPr>
          <w:rStyle w:val="ej-keyword"/>
          <w:rFonts w:ascii="Times New Roman" w:hAnsi="Times New Roman" w:cs="Times New Roman"/>
          <w:color w:val="auto"/>
          <w:sz w:val="24"/>
          <w:szCs w:val="24"/>
        </w:rPr>
        <w:t>apolipoprotein E</w:t>
      </w:r>
      <w:r w:rsidRPr="002A1563">
        <w:rPr>
          <w:rFonts w:ascii="Times New Roman" w:hAnsi="Times New Roman" w:cs="Times New Roman"/>
          <w:color w:val="auto"/>
          <w:sz w:val="24"/>
          <w:szCs w:val="24"/>
        </w:rPr>
        <w:t> to cognitive function in </w:t>
      </w:r>
      <w:r w:rsidRPr="002A1563">
        <w:rPr>
          <w:rStyle w:val="ej-keyword"/>
          <w:rFonts w:ascii="Times New Roman" w:hAnsi="Times New Roman" w:cs="Times New Roman"/>
          <w:color w:val="auto"/>
          <w:sz w:val="24"/>
          <w:szCs w:val="24"/>
        </w:rPr>
        <w:t>Down syndrome</w:t>
      </w:r>
      <w:r w:rsidRPr="002A1563">
        <w:rPr>
          <w:rFonts w:ascii="Times New Roman" w:hAnsi="Times New Roman" w:cs="Times New Roman"/>
          <w:color w:val="auto"/>
          <w:sz w:val="24"/>
          <w:szCs w:val="24"/>
        </w:rPr>
        <w:t xml:space="preserve"> adults », </w:t>
      </w:r>
      <w:r w:rsidRPr="00C41EAB">
        <w:rPr>
          <w:rFonts w:ascii="Times New Roman" w:hAnsi="Times New Roman" w:cs="Times New Roman"/>
          <w:i/>
          <w:color w:val="auto"/>
          <w:sz w:val="24"/>
          <w:szCs w:val="24"/>
        </w:rPr>
        <w:t>NeuroReport</w:t>
      </w:r>
      <w:r w:rsidRPr="002A1563">
        <w:rPr>
          <w:rFonts w:ascii="Times New Roman" w:hAnsi="Times New Roman" w:cs="Times New Roman"/>
          <w:color w:val="auto"/>
          <w:sz w:val="24"/>
          <w:szCs w:val="24"/>
        </w:rPr>
        <w:t>, n°</w:t>
      </w:r>
      <w:hyperlink r:id="rId9" w:history="1">
        <w:r w:rsidRPr="002A1563">
          <w:rPr>
            <w:rStyle w:val="Lienhypertexte"/>
            <w:rFonts w:ascii="Times New Roman" w:hAnsi="Times New Roman" w:cs="Times New Roman"/>
            <w:color w:val="auto"/>
            <w:sz w:val="24"/>
            <w:szCs w:val="24"/>
            <w:u w:val="none"/>
          </w:rPr>
          <w:t xml:space="preserve"> 8</w:t>
        </w:r>
        <w:r w:rsidR="00C41EAB">
          <w:rPr>
            <w:rStyle w:val="Lienhypertexte"/>
            <w:rFonts w:ascii="Times New Roman" w:hAnsi="Times New Roman" w:cs="Times New Roman"/>
            <w:color w:val="auto"/>
            <w:sz w:val="24"/>
            <w:szCs w:val="24"/>
            <w:u w:val="none"/>
          </w:rPr>
          <w:t xml:space="preserve"> (</w:t>
        </w:r>
        <w:r w:rsidRPr="002A1563">
          <w:rPr>
            <w:rStyle w:val="Lienhypertexte"/>
            <w:rFonts w:ascii="Times New Roman" w:hAnsi="Times New Roman" w:cs="Times New Roman"/>
            <w:color w:val="auto"/>
            <w:sz w:val="24"/>
            <w:szCs w:val="24"/>
            <w:u w:val="none"/>
          </w:rPr>
          <w:t>8</w:t>
        </w:r>
        <w:r w:rsidR="00C41EAB">
          <w:rPr>
            <w:rStyle w:val="Lienhypertexte"/>
            <w:rFonts w:ascii="Times New Roman" w:hAnsi="Times New Roman" w:cs="Times New Roman"/>
            <w:color w:val="auto"/>
            <w:sz w:val="24"/>
            <w:szCs w:val="24"/>
            <w:u w:val="none"/>
          </w:rPr>
          <w:t>)</w:t>
        </w:r>
        <w:r w:rsidRPr="002A1563">
          <w:rPr>
            <w:rStyle w:val="Lienhypertexte"/>
            <w:rFonts w:ascii="Times New Roman" w:hAnsi="Times New Roman" w:cs="Times New Roman"/>
            <w:color w:val="auto"/>
            <w:sz w:val="24"/>
            <w:szCs w:val="24"/>
            <w:u w:val="none"/>
          </w:rPr>
          <w:t>, pp 1835–1840</w:t>
        </w:r>
      </w:hyperlink>
      <w:r w:rsidRPr="002A1563">
        <w:rPr>
          <w:rFonts w:ascii="Times New Roman" w:hAnsi="Times New Roman" w:cs="Times New Roman"/>
          <w:color w:val="auto"/>
          <w:sz w:val="24"/>
          <w:szCs w:val="24"/>
        </w:rPr>
        <w:t>.</w:t>
      </w:r>
    </w:p>
    <w:p w:rsidR="0002303C" w:rsidRPr="00C41EAB" w:rsidRDefault="00C41EAB" w:rsidP="0002303C">
      <w:pPr>
        <w:rPr>
          <w:rFonts w:ascii="Times New Roman" w:hAnsi="Times New Roman" w:cs="Times New Roman"/>
          <w:sz w:val="24"/>
          <w:szCs w:val="24"/>
          <w:lang w:val="en-US"/>
        </w:rPr>
      </w:pPr>
      <w:r w:rsidRPr="00C41EAB">
        <w:rPr>
          <w:rFonts w:ascii="Times New Roman" w:hAnsi="Times New Roman" w:cs="Times New Roman"/>
          <w:sz w:val="24"/>
          <w:szCs w:val="24"/>
          <w:lang w:val="en-US"/>
        </w:rPr>
        <w:t>Breslin J., Spanò G., Bootzin R., Anand P., Nadel L., Edgin J. (2014),</w:t>
      </w:r>
      <w:r w:rsidR="0002303C" w:rsidRPr="00C41EAB">
        <w:rPr>
          <w:rFonts w:ascii="Times New Roman" w:hAnsi="Times New Roman" w:cs="Times New Roman"/>
          <w:sz w:val="24"/>
          <w:szCs w:val="24"/>
          <w:lang w:val="en-US"/>
        </w:rPr>
        <w:t xml:space="preserve"> </w:t>
      </w:r>
      <w:r w:rsidRPr="00C41EAB">
        <w:rPr>
          <w:rFonts w:ascii="Times New Roman" w:hAnsi="Times New Roman" w:cs="Times New Roman"/>
          <w:sz w:val="24"/>
          <w:szCs w:val="24"/>
          <w:lang w:val="en-US"/>
        </w:rPr>
        <w:t>“</w:t>
      </w:r>
      <w:r w:rsidR="0002303C" w:rsidRPr="00C41EAB">
        <w:rPr>
          <w:rFonts w:ascii="Times New Roman" w:hAnsi="Times New Roman" w:cs="Times New Roman"/>
          <w:sz w:val="24"/>
          <w:szCs w:val="24"/>
          <w:lang w:val="en-US"/>
        </w:rPr>
        <w:t>Obstructive sleep apnea syndrome and cognition in Down syndrome</w:t>
      </w:r>
      <w:r w:rsidRPr="00C41EAB">
        <w:rPr>
          <w:rFonts w:ascii="Times New Roman" w:hAnsi="Times New Roman" w:cs="Times New Roman"/>
          <w:sz w:val="24"/>
          <w:szCs w:val="24"/>
          <w:lang w:val="en-US"/>
        </w:rPr>
        <w:t>”,</w:t>
      </w:r>
      <w:r w:rsidR="0002303C" w:rsidRPr="00C41EAB">
        <w:rPr>
          <w:rFonts w:ascii="Times New Roman" w:hAnsi="Times New Roman" w:cs="Times New Roman"/>
          <w:sz w:val="24"/>
          <w:szCs w:val="24"/>
          <w:lang w:val="en-US"/>
        </w:rPr>
        <w:t xml:space="preserve"> </w:t>
      </w:r>
      <w:r w:rsidR="0002303C" w:rsidRPr="00C41EAB">
        <w:rPr>
          <w:rFonts w:ascii="Times New Roman" w:hAnsi="Times New Roman" w:cs="Times New Roman"/>
          <w:i/>
          <w:sz w:val="24"/>
          <w:szCs w:val="24"/>
          <w:lang w:val="en-US"/>
        </w:rPr>
        <w:t>Developmental Medicin</w:t>
      </w:r>
      <w:r w:rsidRPr="00C41EAB">
        <w:rPr>
          <w:rFonts w:ascii="Times New Roman" w:hAnsi="Times New Roman" w:cs="Times New Roman"/>
          <w:i/>
          <w:sz w:val="24"/>
          <w:szCs w:val="24"/>
          <w:lang w:val="en-US"/>
        </w:rPr>
        <w:t>e &amp; Child Neurology</w:t>
      </w:r>
      <w:r w:rsidRPr="00C41EAB">
        <w:rPr>
          <w:rFonts w:ascii="Times New Roman" w:hAnsi="Times New Roman" w:cs="Times New Roman"/>
          <w:sz w:val="24"/>
          <w:szCs w:val="24"/>
          <w:lang w:val="en-US"/>
        </w:rPr>
        <w:t>,</w:t>
      </w:r>
      <w:r w:rsidR="00130227" w:rsidRPr="00C41EAB">
        <w:rPr>
          <w:rFonts w:ascii="Times New Roman" w:hAnsi="Times New Roman" w:cs="Times New Roman"/>
          <w:sz w:val="24"/>
          <w:szCs w:val="24"/>
          <w:lang w:val="en-US"/>
        </w:rPr>
        <w:t xml:space="preserve"> n°56 (7), pp 657-664.</w:t>
      </w:r>
    </w:p>
    <w:p w:rsidR="00D149B4" w:rsidRPr="00C41EAB" w:rsidRDefault="00D149B4" w:rsidP="00D149B4">
      <w:pPr>
        <w:rPr>
          <w:rFonts w:ascii="Times New Roman" w:hAnsi="Times New Roman" w:cs="Times New Roman"/>
          <w:color w:val="1C1D1E"/>
          <w:sz w:val="24"/>
          <w:szCs w:val="24"/>
        </w:rPr>
      </w:pPr>
      <w:r w:rsidRPr="00C41EAB">
        <w:rPr>
          <w:rFonts w:ascii="Times New Roman" w:hAnsi="Times New Roman" w:cs="Times New Roman"/>
          <w:sz w:val="24"/>
          <w:szCs w:val="24"/>
          <w:lang w:val="en-US"/>
        </w:rPr>
        <w:t>Coppus A., Evenhuis H., Verberne G.-J., Visser F., Van Gool P., Eikelenboom P., Van Duijin C. (2006), “</w:t>
      </w:r>
      <w:r w:rsidRPr="00C41EAB">
        <w:rPr>
          <w:rFonts w:ascii="Times New Roman" w:hAnsi="Times New Roman" w:cs="Times New Roman"/>
          <w:color w:val="1C1D1E"/>
          <w:sz w:val="24"/>
          <w:szCs w:val="24"/>
        </w:rPr>
        <w:t xml:space="preserve">Dementia and mortality in persons with Down’s syndrome », </w:t>
      </w:r>
      <w:r w:rsidRPr="00C41EAB">
        <w:rPr>
          <w:rFonts w:ascii="Times New Roman" w:hAnsi="Times New Roman" w:cs="Times New Roman"/>
          <w:i/>
          <w:color w:val="1C1D1E"/>
          <w:sz w:val="24"/>
          <w:szCs w:val="24"/>
        </w:rPr>
        <w:t xml:space="preserve">Journal of </w:t>
      </w:r>
      <w:r w:rsidR="002A1563" w:rsidRPr="00C41EAB">
        <w:rPr>
          <w:rFonts w:ascii="Times New Roman" w:hAnsi="Times New Roman" w:cs="Times New Roman"/>
          <w:i/>
          <w:color w:val="1C1D1E"/>
          <w:sz w:val="24"/>
          <w:szCs w:val="24"/>
        </w:rPr>
        <w:t>I</w:t>
      </w:r>
      <w:r w:rsidRPr="00C41EAB">
        <w:rPr>
          <w:rFonts w:ascii="Times New Roman" w:hAnsi="Times New Roman" w:cs="Times New Roman"/>
          <w:i/>
          <w:color w:val="1C1D1E"/>
          <w:sz w:val="24"/>
          <w:szCs w:val="24"/>
        </w:rPr>
        <w:t>ntel</w:t>
      </w:r>
      <w:r w:rsidR="002A1563" w:rsidRPr="00C41EAB">
        <w:rPr>
          <w:rFonts w:ascii="Times New Roman" w:hAnsi="Times New Roman" w:cs="Times New Roman"/>
          <w:i/>
          <w:color w:val="1C1D1E"/>
          <w:sz w:val="24"/>
          <w:szCs w:val="24"/>
        </w:rPr>
        <w:t>l</w:t>
      </w:r>
      <w:r w:rsidRPr="00C41EAB">
        <w:rPr>
          <w:rFonts w:ascii="Times New Roman" w:hAnsi="Times New Roman" w:cs="Times New Roman"/>
          <w:i/>
          <w:color w:val="1C1D1E"/>
          <w:sz w:val="24"/>
          <w:szCs w:val="24"/>
        </w:rPr>
        <w:t>ectual Disability Research</w:t>
      </w:r>
      <w:r w:rsidRPr="00C41EAB">
        <w:rPr>
          <w:rFonts w:ascii="Times New Roman" w:hAnsi="Times New Roman" w:cs="Times New Roman"/>
          <w:color w:val="1C1D1E"/>
          <w:sz w:val="24"/>
          <w:szCs w:val="24"/>
        </w:rPr>
        <w:t>, n°</w:t>
      </w:r>
      <w:r w:rsidR="00C41EAB" w:rsidRPr="00C41EAB">
        <w:rPr>
          <w:rFonts w:ascii="Times New Roman" w:hAnsi="Times New Roman" w:cs="Times New Roman"/>
          <w:color w:val="1C1D1E"/>
          <w:sz w:val="24"/>
          <w:szCs w:val="24"/>
        </w:rPr>
        <w:t>50 (</w:t>
      </w:r>
      <w:r w:rsidRPr="00C41EAB">
        <w:rPr>
          <w:rFonts w:ascii="Times New Roman" w:hAnsi="Times New Roman" w:cs="Times New Roman"/>
          <w:color w:val="1C1D1E"/>
          <w:sz w:val="24"/>
          <w:szCs w:val="24"/>
        </w:rPr>
        <w:t>10</w:t>
      </w:r>
      <w:r w:rsidR="00C41EAB" w:rsidRPr="00C41EAB">
        <w:rPr>
          <w:rFonts w:ascii="Times New Roman" w:hAnsi="Times New Roman" w:cs="Times New Roman"/>
          <w:color w:val="1C1D1E"/>
          <w:sz w:val="24"/>
          <w:szCs w:val="24"/>
        </w:rPr>
        <w:t>)</w:t>
      </w:r>
      <w:r w:rsidRPr="00C41EAB">
        <w:rPr>
          <w:rFonts w:ascii="Times New Roman" w:hAnsi="Times New Roman" w:cs="Times New Roman"/>
          <w:color w:val="1C1D1E"/>
          <w:sz w:val="24"/>
          <w:szCs w:val="24"/>
        </w:rPr>
        <w:t>, pp 768-777</w:t>
      </w:r>
      <w:r w:rsidR="002A1563" w:rsidRPr="00C41EAB">
        <w:rPr>
          <w:rFonts w:ascii="Times New Roman" w:hAnsi="Times New Roman" w:cs="Times New Roman"/>
          <w:color w:val="1C1D1E"/>
          <w:sz w:val="24"/>
          <w:szCs w:val="24"/>
        </w:rPr>
        <w:t>.</w:t>
      </w:r>
    </w:p>
    <w:p w:rsidR="00B22253" w:rsidRPr="00C41EAB" w:rsidRDefault="00C41EAB" w:rsidP="00C41EAB">
      <w:pPr>
        <w:jc w:val="both"/>
        <w:rPr>
          <w:rFonts w:ascii="Times New Roman" w:hAnsi="Times New Roman" w:cs="Times New Roman"/>
          <w:color w:val="000000" w:themeColor="text1"/>
          <w:sz w:val="24"/>
          <w:szCs w:val="24"/>
        </w:rPr>
      </w:pPr>
      <w:r w:rsidRPr="00C41EAB">
        <w:rPr>
          <w:rFonts w:ascii="Times New Roman" w:hAnsi="Times New Roman" w:cs="Times New Roman"/>
          <w:color w:val="000000" w:themeColor="text1"/>
          <w:sz w:val="24"/>
          <w:szCs w:val="24"/>
        </w:rPr>
        <w:t xml:space="preserve">Comblain A., </w:t>
      </w:r>
      <w:r w:rsidR="00B22253" w:rsidRPr="00C41EAB">
        <w:rPr>
          <w:rFonts w:ascii="Times New Roman" w:hAnsi="Times New Roman" w:cs="Times New Roman"/>
          <w:color w:val="000000" w:themeColor="text1"/>
          <w:sz w:val="24"/>
          <w:szCs w:val="24"/>
        </w:rPr>
        <w:t>Thibaut J.P.</w:t>
      </w:r>
      <w:r w:rsidRPr="00C41EAB">
        <w:rPr>
          <w:rFonts w:ascii="Times New Roman" w:hAnsi="Times New Roman" w:cs="Times New Roman"/>
          <w:color w:val="000000" w:themeColor="text1"/>
          <w:sz w:val="24"/>
          <w:szCs w:val="24"/>
        </w:rPr>
        <w:t>, (2009),</w:t>
      </w:r>
      <w:r w:rsidR="00B22253" w:rsidRPr="00C41EAB">
        <w:rPr>
          <w:rFonts w:ascii="Times New Roman" w:hAnsi="Times New Roman" w:cs="Times New Roman"/>
          <w:color w:val="000000" w:themeColor="text1"/>
          <w:sz w:val="24"/>
          <w:szCs w:val="24"/>
        </w:rPr>
        <w:t xml:space="preserve"> </w:t>
      </w:r>
      <w:r w:rsidRPr="00C41EAB">
        <w:rPr>
          <w:rFonts w:ascii="Times New Roman" w:hAnsi="Times New Roman" w:cs="Times New Roman"/>
          <w:color w:val="000000" w:themeColor="text1"/>
          <w:sz w:val="24"/>
          <w:szCs w:val="24"/>
        </w:rPr>
        <w:t>« </w:t>
      </w:r>
      <w:r w:rsidR="00B22253" w:rsidRPr="00C41EAB">
        <w:rPr>
          <w:rFonts w:ascii="Times New Roman" w:hAnsi="Times New Roman" w:cs="Times New Roman"/>
          <w:color w:val="000000" w:themeColor="text1"/>
          <w:sz w:val="24"/>
          <w:szCs w:val="24"/>
        </w:rPr>
        <w:t>Approche neuropsychologique du syndrome de Down</w:t>
      </w:r>
      <w:r w:rsidRPr="00C41EAB">
        <w:rPr>
          <w:rFonts w:ascii="Times New Roman" w:hAnsi="Times New Roman" w:cs="Times New Roman"/>
          <w:color w:val="000000" w:themeColor="text1"/>
          <w:sz w:val="24"/>
          <w:szCs w:val="24"/>
        </w:rPr>
        <w:t> »,</w:t>
      </w:r>
      <w:r w:rsidR="00B22253" w:rsidRPr="00C41EAB">
        <w:rPr>
          <w:rFonts w:ascii="Times New Roman" w:hAnsi="Times New Roman" w:cs="Times New Roman"/>
          <w:color w:val="000000" w:themeColor="text1"/>
          <w:sz w:val="24"/>
          <w:szCs w:val="24"/>
        </w:rPr>
        <w:t xml:space="preserve"> </w:t>
      </w:r>
      <w:r w:rsidRPr="00C41EAB">
        <w:rPr>
          <w:rFonts w:ascii="Times New Roman" w:hAnsi="Times New Roman" w:cs="Times New Roman"/>
          <w:color w:val="000000" w:themeColor="text1"/>
          <w:sz w:val="24"/>
          <w:szCs w:val="24"/>
        </w:rPr>
        <w:t>dans Van der Linden M., Poncelet</w:t>
      </w:r>
      <w:r w:rsidR="00B22253" w:rsidRPr="00C41EAB">
        <w:rPr>
          <w:rFonts w:ascii="Times New Roman" w:hAnsi="Times New Roman" w:cs="Times New Roman"/>
          <w:color w:val="000000" w:themeColor="text1"/>
          <w:sz w:val="24"/>
          <w:szCs w:val="24"/>
        </w:rPr>
        <w:t xml:space="preserve"> M., et Majerus, S. </w:t>
      </w:r>
      <w:r>
        <w:rPr>
          <w:rFonts w:ascii="Times New Roman" w:hAnsi="Times New Roman" w:cs="Times New Roman"/>
          <w:color w:val="000000" w:themeColor="text1"/>
          <w:sz w:val="24"/>
          <w:szCs w:val="24"/>
        </w:rPr>
        <w:t>(D</w:t>
      </w:r>
      <w:r w:rsidRPr="00C41EAB">
        <w:rPr>
          <w:rFonts w:ascii="Times New Roman" w:hAnsi="Times New Roman" w:cs="Times New Roman"/>
          <w:color w:val="000000" w:themeColor="text1"/>
          <w:sz w:val="24"/>
          <w:szCs w:val="24"/>
        </w:rPr>
        <w:t xml:space="preserve">ir), </w:t>
      </w:r>
      <w:r w:rsidR="00B22253" w:rsidRPr="00C41EAB">
        <w:rPr>
          <w:rFonts w:ascii="Times New Roman" w:hAnsi="Times New Roman" w:cs="Times New Roman"/>
          <w:i/>
          <w:color w:val="000000" w:themeColor="text1"/>
          <w:sz w:val="24"/>
          <w:szCs w:val="24"/>
        </w:rPr>
        <w:t>Manuel de neuropsychologie du développement</w:t>
      </w:r>
      <w:r w:rsidRPr="00C41EAB">
        <w:rPr>
          <w:rFonts w:ascii="Times New Roman" w:hAnsi="Times New Roman" w:cs="Times New Roman"/>
          <w:color w:val="000000" w:themeColor="text1"/>
          <w:sz w:val="24"/>
          <w:szCs w:val="24"/>
        </w:rPr>
        <w:t xml:space="preserve">, </w:t>
      </w:r>
      <w:r w:rsidR="00B22253" w:rsidRPr="00C41EAB">
        <w:rPr>
          <w:rFonts w:ascii="Times New Roman" w:hAnsi="Times New Roman" w:cs="Times New Roman"/>
          <w:color w:val="000000" w:themeColor="text1"/>
          <w:sz w:val="24"/>
          <w:szCs w:val="24"/>
        </w:rPr>
        <w:t xml:space="preserve">Marseille : Solal, </w:t>
      </w:r>
      <w:r w:rsidRPr="00C41EAB">
        <w:rPr>
          <w:rFonts w:ascii="Times New Roman" w:hAnsi="Times New Roman" w:cs="Times New Roman"/>
          <w:color w:val="000000" w:themeColor="text1"/>
          <w:sz w:val="24"/>
          <w:szCs w:val="24"/>
        </w:rPr>
        <w:t xml:space="preserve">pp </w:t>
      </w:r>
      <w:r w:rsidR="00B22253" w:rsidRPr="00C41EAB">
        <w:rPr>
          <w:rFonts w:ascii="Times New Roman" w:hAnsi="Times New Roman" w:cs="Times New Roman"/>
          <w:color w:val="000000" w:themeColor="text1"/>
          <w:sz w:val="24"/>
          <w:szCs w:val="24"/>
        </w:rPr>
        <w:t>491-522.</w:t>
      </w:r>
    </w:p>
    <w:p w:rsidR="0002303C" w:rsidRPr="00C41EAB" w:rsidRDefault="00C41EAB" w:rsidP="0002303C">
      <w:pPr>
        <w:rPr>
          <w:rFonts w:ascii="Times New Roman" w:hAnsi="Times New Roman" w:cs="Times New Roman"/>
          <w:sz w:val="24"/>
          <w:szCs w:val="24"/>
          <w:lang w:val="en-US"/>
        </w:rPr>
      </w:pPr>
      <w:r w:rsidRPr="00C41EAB">
        <w:rPr>
          <w:rFonts w:ascii="Times New Roman" w:hAnsi="Times New Roman" w:cs="Times New Roman"/>
          <w:sz w:val="24"/>
          <w:szCs w:val="24"/>
          <w:lang w:val="en-US"/>
        </w:rPr>
        <w:t>Evans E., Bhardwaj</w:t>
      </w:r>
      <w:r w:rsidR="0002303C" w:rsidRPr="00C41EAB">
        <w:rPr>
          <w:rFonts w:ascii="Times New Roman" w:hAnsi="Times New Roman" w:cs="Times New Roman"/>
          <w:sz w:val="24"/>
          <w:szCs w:val="24"/>
          <w:lang w:val="en-US"/>
        </w:rPr>
        <w:t xml:space="preserve"> A., </w:t>
      </w:r>
      <w:r w:rsidRPr="00C41EAB">
        <w:rPr>
          <w:rFonts w:ascii="Times New Roman" w:hAnsi="Times New Roman" w:cs="Times New Roman"/>
          <w:sz w:val="24"/>
          <w:szCs w:val="24"/>
          <w:lang w:val="en-US"/>
        </w:rPr>
        <w:t>Brodaty H., Sachdev P., Draper B., Trollor J. M. (2013), “</w:t>
      </w:r>
      <w:r w:rsidR="0002303C" w:rsidRPr="00C41EAB">
        <w:rPr>
          <w:rFonts w:ascii="Times New Roman" w:hAnsi="Times New Roman" w:cs="Times New Roman"/>
          <w:sz w:val="24"/>
          <w:szCs w:val="24"/>
          <w:lang w:val="en-US"/>
        </w:rPr>
        <w:t>Dementia in people with intellectual disability : Insights and challenges in epidemiological research with an at-risk population</w:t>
      </w:r>
      <w:r w:rsidRPr="00C41EAB">
        <w:rPr>
          <w:rFonts w:ascii="Times New Roman" w:hAnsi="Times New Roman" w:cs="Times New Roman"/>
          <w:sz w:val="24"/>
          <w:szCs w:val="24"/>
          <w:lang w:val="en-US"/>
        </w:rPr>
        <w:t xml:space="preserve">”, </w:t>
      </w:r>
      <w:r w:rsidR="0002303C" w:rsidRPr="00C41EAB">
        <w:rPr>
          <w:rFonts w:ascii="Times New Roman" w:hAnsi="Times New Roman" w:cs="Times New Roman"/>
          <w:sz w:val="24"/>
          <w:szCs w:val="24"/>
          <w:lang w:val="en-US"/>
        </w:rPr>
        <w:t xml:space="preserve"> </w:t>
      </w:r>
      <w:r w:rsidR="0002303C" w:rsidRPr="00C41EAB">
        <w:rPr>
          <w:rFonts w:ascii="Times New Roman" w:hAnsi="Times New Roman" w:cs="Times New Roman"/>
          <w:i/>
          <w:sz w:val="24"/>
          <w:szCs w:val="24"/>
          <w:lang w:val="en-US"/>
        </w:rPr>
        <w:t>International Review of Psychiatry</w:t>
      </w:r>
      <w:r w:rsidR="0002303C" w:rsidRPr="00C41EAB">
        <w:rPr>
          <w:rFonts w:ascii="Times New Roman" w:hAnsi="Times New Roman" w:cs="Times New Roman"/>
          <w:sz w:val="24"/>
          <w:szCs w:val="24"/>
          <w:lang w:val="en-US"/>
        </w:rPr>
        <w:t xml:space="preserve">, </w:t>
      </w:r>
      <w:r w:rsidRPr="00C41EAB">
        <w:rPr>
          <w:rFonts w:ascii="Times New Roman" w:hAnsi="Times New Roman" w:cs="Times New Roman"/>
          <w:sz w:val="24"/>
          <w:szCs w:val="24"/>
          <w:lang w:val="en-US"/>
        </w:rPr>
        <w:t>n°</w:t>
      </w:r>
      <w:r w:rsidR="0002303C" w:rsidRPr="00C41EAB">
        <w:rPr>
          <w:rFonts w:ascii="Times New Roman" w:hAnsi="Times New Roman" w:cs="Times New Roman"/>
          <w:sz w:val="24"/>
          <w:szCs w:val="24"/>
          <w:lang w:val="en-US"/>
        </w:rPr>
        <w:t xml:space="preserve">25, </w:t>
      </w:r>
      <w:r w:rsidRPr="00C41EAB">
        <w:rPr>
          <w:rFonts w:ascii="Times New Roman" w:hAnsi="Times New Roman" w:cs="Times New Roman"/>
          <w:sz w:val="24"/>
          <w:szCs w:val="24"/>
          <w:lang w:val="en-US"/>
        </w:rPr>
        <w:t xml:space="preserve">pp </w:t>
      </w:r>
      <w:r w:rsidR="0002303C" w:rsidRPr="00C41EAB">
        <w:rPr>
          <w:rFonts w:ascii="Times New Roman" w:hAnsi="Times New Roman" w:cs="Times New Roman"/>
          <w:sz w:val="24"/>
          <w:szCs w:val="24"/>
          <w:lang w:val="en-US"/>
        </w:rPr>
        <w:t>755-763.</w:t>
      </w:r>
    </w:p>
    <w:p w:rsidR="0002303C" w:rsidRPr="00E455E8" w:rsidRDefault="00C41EAB" w:rsidP="0002303C">
      <w:pPr>
        <w:rPr>
          <w:sz w:val="24"/>
          <w:szCs w:val="24"/>
          <w:lang w:val="en-US"/>
        </w:rPr>
      </w:pPr>
      <w:r w:rsidRPr="00E455E8">
        <w:rPr>
          <w:sz w:val="24"/>
          <w:szCs w:val="24"/>
        </w:rPr>
        <w:t>Fernandez F.,</w:t>
      </w:r>
      <w:r w:rsidR="0002303C" w:rsidRPr="00E455E8">
        <w:rPr>
          <w:sz w:val="24"/>
          <w:szCs w:val="24"/>
        </w:rPr>
        <w:t xml:space="preserve"> Edgin</w:t>
      </w:r>
      <w:r w:rsidRPr="00E455E8">
        <w:rPr>
          <w:sz w:val="24"/>
          <w:szCs w:val="24"/>
        </w:rPr>
        <w:t xml:space="preserve"> J.-</w:t>
      </w:r>
      <w:r w:rsidR="0002303C" w:rsidRPr="00E455E8">
        <w:rPr>
          <w:sz w:val="24"/>
          <w:szCs w:val="24"/>
        </w:rPr>
        <w:t>O.</w:t>
      </w:r>
      <w:r w:rsidR="004F688C" w:rsidRPr="00E455E8">
        <w:rPr>
          <w:sz w:val="24"/>
          <w:szCs w:val="24"/>
        </w:rPr>
        <w:t>, (2013)</w:t>
      </w:r>
      <w:r w:rsidR="0002303C" w:rsidRPr="00E455E8">
        <w:rPr>
          <w:sz w:val="24"/>
          <w:szCs w:val="24"/>
        </w:rPr>
        <w:t xml:space="preserve"> </w:t>
      </w:r>
      <w:r w:rsidR="004F688C" w:rsidRPr="00E455E8">
        <w:rPr>
          <w:sz w:val="24"/>
          <w:szCs w:val="24"/>
        </w:rPr>
        <w:t>« </w:t>
      </w:r>
      <w:r w:rsidR="0002303C" w:rsidRPr="00E455E8">
        <w:rPr>
          <w:sz w:val="24"/>
          <w:szCs w:val="24"/>
          <w:lang w:val="en-US"/>
        </w:rPr>
        <w:t>Poor sleep as a precursor to cognitive decline in Down syndrome : A hypothesis</w:t>
      </w:r>
      <w:r w:rsidR="004F688C" w:rsidRPr="00E455E8">
        <w:rPr>
          <w:sz w:val="24"/>
          <w:szCs w:val="24"/>
          <w:lang w:val="en-US"/>
        </w:rPr>
        <w:t>”,</w:t>
      </w:r>
      <w:r w:rsidR="00E455E8" w:rsidRPr="00E455E8">
        <w:rPr>
          <w:sz w:val="24"/>
          <w:szCs w:val="24"/>
          <w:lang w:val="en-US"/>
        </w:rPr>
        <w:t xml:space="preserve"> </w:t>
      </w:r>
      <w:r w:rsidR="0002303C" w:rsidRPr="00E455E8">
        <w:rPr>
          <w:i/>
          <w:sz w:val="24"/>
          <w:szCs w:val="24"/>
          <w:lang w:val="en-US"/>
        </w:rPr>
        <w:t>Journal of Alzheimer’s Disease &amp; Parkinsonism</w:t>
      </w:r>
      <w:r w:rsidR="0002303C" w:rsidRPr="00E455E8">
        <w:rPr>
          <w:sz w:val="24"/>
          <w:szCs w:val="24"/>
          <w:lang w:val="en-US"/>
        </w:rPr>
        <w:t xml:space="preserve">, </w:t>
      </w:r>
      <w:r w:rsidR="00E455E8" w:rsidRPr="00E455E8">
        <w:rPr>
          <w:sz w:val="24"/>
          <w:szCs w:val="24"/>
          <w:lang w:val="en-US"/>
        </w:rPr>
        <w:t xml:space="preserve">3(2), </w:t>
      </w:r>
      <w:r w:rsidR="0002303C" w:rsidRPr="00E455E8">
        <w:rPr>
          <w:sz w:val="24"/>
          <w:szCs w:val="24"/>
          <w:lang w:val="en-US"/>
        </w:rPr>
        <w:t>124.</w:t>
      </w:r>
    </w:p>
    <w:p w:rsidR="00D149B4" w:rsidRPr="00E455E8" w:rsidRDefault="00D149B4" w:rsidP="00D149B4">
      <w:pPr>
        <w:rPr>
          <w:rFonts w:ascii="Times New Roman" w:hAnsi="Times New Roman" w:cs="Times New Roman"/>
          <w:sz w:val="24"/>
          <w:szCs w:val="24"/>
          <w:lang w:val="en-US"/>
        </w:rPr>
      </w:pPr>
      <w:r w:rsidRPr="00E455E8">
        <w:rPr>
          <w:rFonts w:ascii="Times New Roman" w:hAnsi="Times New Roman" w:cs="Times New Roman"/>
          <w:sz w:val="24"/>
          <w:szCs w:val="24"/>
        </w:rPr>
        <w:t>H</w:t>
      </w:r>
      <w:r w:rsidR="00E455E8" w:rsidRPr="00E455E8">
        <w:rPr>
          <w:rFonts w:ascii="Times New Roman" w:hAnsi="Times New Roman" w:cs="Times New Roman"/>
          <w:sz w:val="24"/>
          <w:szCs w:val="24"/>
        </w:rPr>
        <w:t>axby J.-</w:t>
      </w:r>
      <w:r w:rsidRPr="00E455E8">
        <w:rPr>
          <w:rFonts w:ascii="Times New Roman" w:hAnsi="Times New Roman" w:cs="Times New Roman"/>
          <w:sz w:val="24"/>
          <w:szCs w:val="24"/>
        </w:rPr>
        <w:t>V.</w:t>
      </w:r>
      <w:r w:rsidR="00E455E8" w:rsidRPr="00E455E8">
        <w:rPr>
          <w:rFonts w:ascii="Times New Roman" w:hAnsi="Times New Roman" w:cs="Times New Roman"/>
          <w:sz w:val="24"/>
          <w:szCs w:val="24"/>
        </w:rPr>
        <w:t>,</w:t>
      </w:r>
      <w:r w:rsidRPr="00E455E8">
        <w:rPr>
          <w:rFonts w:ascii="Times New Roman" w:hAnsi="Times New Roman" w:cs="Times New Roman"/>
          <w:sz w:val="24"/>
          <w:szCs w:val="24"/>
        </w:rPr>
        <w:t xml:space="preserve"> (1989), </w:t>
      </w:r>
      <w:r w:rsidR="00E455E8" w:rsidRPr="00E455E8">
        <w:rPr>
          <w:rFonts w:ascii="Times New Roman" w:hAnsi="Times New Roman" w:cs="Times New Roman"/>
          <w:sz w:val="24"/>
          <w:szCs w:val="24"/>
        </w:rPr>
        <w:t>« </w:t>
      </w:r>
      <w:r w:rsidRPr="00E455E8">
        <w:rPr>
          <w:rFonts w:ascii="Times New Roman" w:hAnsi="Times New Roman" w:cs="Times New Roman"/>
          <w:sz w:val="24"/>
          <w:szCs w:val="24"/>
        </w:rPr>
        <w:t>Neuropsychological evaluation of adults with Down's syndrome: patterns of selective impairment in non-demented old adults</w:t>
      </w:r>
      <w:r w:rsidR="00E455E8" w:rsidRPr="00E455E8">
        <w:rPr>
          <w:rFonts w:ascii="Times New Roman" w:hAnsi="Times New Roman" w:cs="Times New Roman"/>
          <w:sz w:val="24"/>
          <w:szCs w:val="24"/>
        </w:rPr>
        <w:t> </w:t>
      </w:r>
      <w:r w:rsidR="00E455E8" w:rsidRPr="00E455E8">
        <w:rPr>
          <w:rFonts w:ascii="Times New Roman" w:hAnsi="Times New Roman" w:cs="Times New Roman"/>
          <w:i/>
          <w:sz w:val="24"/>
          <w:szCs w:val="24"/>
        </w:rPr>
        <w:t>»,</w:t>
      </w:r>
      <w:r w:rsidRPr="00E455E8">
        <w:rPr>
          <w:rFonts w:ascii="Times New Roman" w:hAnsi="Times New Roman" w:cs="Times New Roman"/>
          <w:i/>
          <w:sz w:val="24"/>
          <w:szCs w:val="24"/>
        </w:rPr>
        <w:t xml:space="preserve"> Journal of Intellectual Disability Research</w:t>
      </w:r>
      <w:r w:rsidRPr="00E455E8">
        <w:rPr>
          <w:rFonts w:ascii="Times New Roman" w:hAnsi="Times New Roman" w:cs="Times New Roman"/>
          <w:sz w:val="24"/>
          <w:szCs w:val="24"/>
        </w:rPr>
        <w:t xml:space="preserve">, </w:t>
      </w:r>
      <w:r w:rsidR="00E455E8" w:rsidRPr="00E455E8">
        <w:rPr>
          <w:rFonts w:ascii="Times New Roman" w:hAnsi="Times New Roman" w:cs="Times New Roman"/>
          <w:sz w:val="24"/>
          <w:szCs w:val="24"/>
        </w:rPr>
        <w:t>n°33, pp</w:t>
      </w:r>
      <w:r w:rsidRPr="00E455E8">
        <w:rPr>
          <w:rFonts w:ascii="Times New Roman" w:hAnsi="Times New Roman" w:cs="Times New Roman"/>
          <w:sz w:val="24"/>
          <w:szCs w:val="24"/>
        </w:rPr>
        <w:t xml:space="preserve"> 193–210.</w:t>
      </w:r>
    </w:p>
    <w:sectPr w:rsidR="00D149B4" w:rsidRPr="00E455E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DC8" w:rsidRDefault="00EF7DC8" w:rsidP="00201C70">
      <w:pPr>
        <w:spacing w:after="0" w:line="240" w:lineRule="auto"/>
      </w:pPr>
      <w:r>
        <w:separator/>
      </w:r>
    </w:p>
  </w:endnote>
  <w:endnote w:type="continuationSeparator" w:id="0">
    <w:p w:rsidR="00EF7DC8" w:rsidRDefault="00EF7DC8" w:rsidP="0020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216025"/>
      <w:docPartObj>
        <w:docPartGallery w:val="Page Numbers (Bottom of Page)"/>
        <w:docPartUnique/>
      </w:docPartObj>
    </w:sdtPr>
    <w:sdtEndPr/>
    <w:sdtContent>
      <w:p w:rsidR="00594FC4" w:rsidRDefault="00594FC4">
        <w:pPr>
          <w:pStyle w:val="Pieddepage"/>
          <w:jc w:val="right"/>
        </w:pPr>
        <w:r>
          <w:fldChar w:fldCharType="begin"/>
        </w:r>
        <w:r>
          <w:instrText>PAGE   \* MERGEFORMAT</w:instrText>
        </w:r>
        <w:r>
          <w:fldChar w:fldCharType="separate"/>
        </w:r>
        <w:r w:rsidR="001478A6">
          <w:rPr>
            <w:noProof/>
          </w:rPr>
          <w:t>1</w:t>
        </w:r>
        <w:r>
          <w:fldChar w:fldCharType="end"/>
        </w:r>
      </w:p>
    </w:sdtContent>
  </w:sdt>
  <w:p w:rsidR="00594FC4" w:rsidRDefault="00594FC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DC8" w:rsidRDefault="00EF7DC8" w:rsidP="00201C70">
      <w:pPr>
        <w:spacing w:after="0" w:line="240" w:lineRule="auto"/>
      </w:pPr>
      <w:r>
        <w:separator/>
      </w:r>
    </w:p>
  </w:footnote>
  <w:footnote w:type="continuationSeparator" w:id="0">
    <w:p w:rsidR="00EF7DC8" w:rsidRDefault="00EF7DC8" w:rsidP="00201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79F"/>
    <w:multiLevelType w:val="hybridMultilevel"/>
    <w:tmpl w:val="57945402"/>
    <w:lvl w:ilvl="0" w:tplc="3DCE75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EB595D"/>
    <w:multiLevelType w:val="hybridMultilevel"/>
    <w:tmpl w:val="4D88AFEC"/>
    <w:lvl w:ilvl="0" w:tplc="5CE07A0E">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E24623"/>
    <w:multiLevelType w:val="multilevel"/>
    <w:tmpl w:val="EE1A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46995"/>
    <w:multiLevelType w:val="hybridMultilevel"/>
    <w:tmpl w:val="DB4A4438"/>
    <w:lvl w:ilvl="0" w:tplc="3702CD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4B1826"/>
    <w:multiLevelType w:val="hybridMultilevel"/>
    <w:tmpl w:val="18222D82"/>
    <w:lvl w:ilvl="0" w:tplc="939C2E22">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A56620"/>
    <w:multiLevelType w:val="multilevel"/>
    <w:tmpl w:val="71AC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624821"/>
    <w:multiLevelType w:val="multilevel"/>
    <w:tmpl w:val="A38E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AD"/>
    <w:rsid w:val="00002360"/>
    <w:rsid w:val="00013602"/>
    <w:rsid w:val="00013818"/>
    <w:rsid w:val="00014234"/>
    <w:rsid w:val="000220C0"/>
    <w:rsid w:val="0002303C"/>
    <w:rsid w:val="00023C19"/>
    <w:rsid w:val="00027AB3"/>
    <w:rsid w:val="00032EAC"/>
    <w:rsid w:val="00034CC0"/>
    <w:rsid w:val="00042C9F"/>
    <w:rsid w:val="00057A40"/>
    <w:rsid w:val="000665B0"/>
    <w:rsid w:val="00070F70"/>
    <w:rsid w:val="000763EC"/>
    <w:rsid w:val="000819C8"/>
    <w:rsid w:val="00087550"/>
    <w:rsid w:val="00095D4E"/>
    <w:rsid w:val="000A739A"/>
    <w:rsid w:val="000B7A77"/>
    <w:rsid w:val="000B7F95"/>
    <w:rsid w:val="000E2084"/>
    <w:rsid w:val="000F7E0D"/>
    <w:rsid w:val="00103568"/>
    <w:rsid w:val="00105B2E"/>
    <w:rsid w:val="00130227"/>
    <w:rsid w:val="001374FB"/>
    <w:rsid w:val="001478A6"/>
    <w:rsid w:val="0015721F"/>
    <w:rsid w:val="0015784E"/>
    <w:rsid w:val="001663A2"/>
    <w:rsid w:val="00173032"/>
    <w:rsid w:val="001755A4"/>
    <w:rsid w:val="00185074"/>
    <w:rsid w:val="001927D6"/>
    <w:rsid w:val="001A1A7A"/>
    <w:rsid w:val="001B624D"/>
    <w:rsid w:val="001C6422"/>
    <w:rsid w:val="00201C70"/>
    <w:rsid w:val="00205D1A"/>
    <w:rsid w:val="00225817"/>
    <w:rsid w:val="0027218E"/>
    <w:rsid w:val="00273465"/>
    <w:rsid w:val="0028371E"/>
    <w:rsid w:val="00286A73"/>
    <w:rsid w:val="00292618"/>
    <w:rsid w:val="002A1563"/>
    <w:rsid w:val="002E017B"/>
    <w:rsid w:val="002E6BBA"/>
    <w:rsid w:val="002F3CF4"/>
    <w:rsid w:val="00305C59"/>
    <w:rsid w:val="003200B1"/>
    <w:rsid w:val="00320891"/>
    <w:rsid w:val="00321B3C"/>
    <w:rsid w:val="00327AA9"/>
    <w:rsid w:val="00332B7B"/>
    <w:rsid w:val="00350229"/>
    <w:rsid w:val="00352C83"/>
    <w:rsid w:val="00354ADD"/>
    <w:rsid w:val="00357A64"/>
    <w:rsid w:val="00363BB4"/>
    <w:rsid w:val="00364DEA"/>
    <w:rsid w:val="003835EE"/>
    <w:rsid w:val="003877CD"/>
    <w:rsid w:val="00392B8F"/>
    <w:rsid w:val="003954B2"/>
    <w:rsid w:val="003B7505"/>
    <w:rsid w:val="003C2CA7"/>
    <w:rsid w:val="003C5F9D"/>
    <w:rsid w:val="003C74A8"/>
    <w:rsid w:val="003D58DB"/>
    <w:rsid w:val="003D7572"/>
    <w:rsid w:val="003E5DC2"/>
    <w:rsid w:val="003F5CF1"/>
    <w:rsid w:val="003F5DBC"/>
    <w:rsid w:val="003F6BD0"/>
    <w:rsid w:val="0040137B"/>
    <w:rsid w:val="0041226C"/>
    <w:rsid w:val="004158E5"/>
    <w:rsid w:val="00444EFE"/>
    <w:rsid w:val="0044656E"/>
    <w:rsid w:val="00453FD8"/>
    <w:rsid w:val="00472DA6"/>
    <w:rsid w:val="00475D26"/>
    <w:rsid w:val="00476916"/>
    <w:rsid w:val="004779AD"/>
    <w:rsid w:val="00477ACE"/>
    <w:rsid w:val="00497BF3"/>
    <w:rsid w:val="004B0E9F"/>
    <w:rsid w:val="004B66E9"/>
    <w:rsid w:val="004C5563"/>
    <w:rsid w:val="004D353C"/>
    <w:rsid w:val="004D6062"/>
    <w:rsid w:val="004E0B31"/>
    <w:rsid w:val="004E5F43"/>
    <w:rsid w:val="004F2488"/>
    <w:rsid w:val="004F42F8"/>
    <w:rsid w:val="004F688C"/>
    <w:rsid w:val="00501B77"/>
    <w:rsid w:val="00541AD5"/>
    <w:rsid w:val="00556D99"/>
    <w:rsid w:val="005571A7"/>
    <w:rsid w:val="00567800"/>
    <w:rsid w:val="005777B5"/>
    <w:rsid w:val="005919FC"/>
    <w:rsid w:val="00594FC4"/>
    <w:rsid w:val="005A610F"/>
    <w:rsid w:val="005C237A"/>
    <w:rsid w:val="005E7883"/>
    <w:rsid w:val="005F0FB1"/>
    <w:rsid w:val="005F2D82"/>
    <w:rsid w:val="00624D0F"/>
    <w:rsid w:val="006276DA"/>
    <w:rsid w:val="006308E9"/>
    <w:rsid w:val="006310B4"/>
    <w:rsid w:val="00636289"/>
    <w:rsid w:val="006501D9"/>
    <w:rsid w:val="00653206"/>
    <w:rsid w:val="006724A7"/>
    <w:rsid w:val="006814D3"/>
    <w:rsid w:val="00684976"/>
    <w:rsid w:val="006A7141"/>
    <w:rsid w:val="006B0DDF"/>
    <w:rsid w:val="006B5A55"/>
    <w:rsid w:val="006B66F8"/>
    <w:rsid w:val="007063BD"/>
    <w:rsid w:val="00715982"/>
    <w:rsid w:val="00723E74"/>
    <w:rsid w:val="007523FD"/>
    <w:rsid w:val="00760A7B"/>
    <w:rsid w:val="00765421"/>
    <w:rsid w:val="007B23AA"/>
    <w:rsid w:val="007C48F3"/>
    <w:rsid w:val="007C56F8"/>
    <w:rsid w:val="007E01DA"/>
    <w:rsid w:val="007F1A27"/>
    <w:rsid w:val="008029DC"/>
    <w:rsid w:val="00806ED6"/>
    <w:rsid w:val="00812FE4"/>
    <w:rsid w:val="008264E3"/>
    <w:rsid w:val="00833212"/>
    <w:rsid w:val="0087016F"/>
    <w:rsid w:val="008757FE"/>
    <w:rsid w:val="008878FF"/>
    <w:rsid w:val="00895314"/>
    <w:rsid w:val="0089702B"/>
    <w:rsid w:val="008C2608"/>
    <w:rsid w:val="008C3539"/>
    <w:rsid w:val="008C70A0"/>
    <w:rsid w:val="008D2CE4"/>
    <w:rsid w:val="008E0565"/>
    <w:rsid w:val="008E454E"/>
    <w:rsid w:val="008E668E"/>
    <w:rsid w:val="008F45A6"/>
    <w:rsid w:val="00903465"/>
    <w:rsid w:val="0090419E"/>
    <w:rsid w:val="00922257"/>
    <w:rsid w:val="009317E7"/>
    <w:rsid w:val="0093664E"/>
    <w:rsid w:val="009528ED"/>
    <w:rsid w:val="00973E95"/>
    <w:rsid w:val="00977B9F"/>
    <w:rsid w:val="009807BA"/>
    <w:rsid w:val="009A5D87"/>
    <w:rsid w:val="009B19C6"/>
    <w:rsid w:val="009C7F6E"/>
    <w:rsid w:val="009D1AE6"/>
    <w:rsid w:val="009E3948"/>
    <w:rsid w:val="009F5027"/>
    <w:rsid w:val="00A02184"/>
    <w:rsid w:val="00A30407"/>
    <w:rsid w:val="00A34A77"/>
    <w:rsid w:val="00A457DB"/>
    <w:rsid w:val="00A54453"/>
    <w:rsid w:val="00A76F82"/>
    <w:rsid w:val="00AA2985"/>
    <w:rsid w:val="00AC2443"/>
    <w:rsid w:val="00AD0071"/>
    <w:rsid w:val="00AD2210"/>
    <w:rsid w:val="00AD6BFD"/>
    <w:rsid w:val="00AE418D"/>
    <w:rsid w:val="00AE7514"/>
    <w:rsid w:val="00B22253"/>
    <w:rsid w:val="00B25E35"/>
    <w:rsid w:val="00B2787B"/>
    <w:rsid w:val="00B32A56"/>
    <w:rsid w:val="00B37290"/>
    <w:rsid w:val="00B6320C"/>
    <w:rsid w:val="00B66AA3"/>
    <w:rsid w:val="00B8150F"/>
    <w:rsid w:val="00B9432E"/>
    <w:rsid w:val="00BB4599"/>
    <w:rsid w:val="00BD4A5A"/>
    <w:rsid w:val="00BF3293"/>
    <w:rsid w:val="00C14F91"/>
    <w:rsid w:val="00C24AAC"/>
    <w:rsid w:val="00C275C0"/>
    <w:rsid w:val="00C32209"/>
    <w:rsid w:val="00C41EAB"/>
    <w:rsid w:val="00C51BD6"/>
    <w:rsid w:val="00C6268F"/>
    <w:rsid w:val="00C75F72"/>
    <w:rsid w:val="00C857E4"/>
    <w:rsid w:val="00C86710"/>
    <w:rsid w:val="00C93528"/>
    <w:rsid w:val="00CA033A"/>
    <w:rsid w:val="00CA0C2C"/>
    <w:rsid w:val="00CA398E"/>
    <w:rsid w:val="00CB1C91"/>
    <w:rsid w:val="00CB44E4"/>
    <w:rsid w:val="00CC03DB"/>
    <w:rsid w:val="00CC3A97"/>
    <w:rsid w:val="00CC77DA"/>
    <w:rsid w:val="00CF7702"/>
    <w:rsid w:val="00D03D9D"/>
    <w:rsid w:val="00D115EA"/>
    <w:rsid w:val="00D149B4"/>
    <w:rsid w:val="00D915A0"/>
    <w:rsid w:val="00D91F5A"/>
    <w:rsid w:val="00D92E72"/>
    <w:rsid w:val="00D974DA"/>
    <w:rsid w:val="00DE445B"/>
    <w:rsid w:val="00DF4844"/>
    <w:rsid w:val="00E37D86"/>
    <w:rsid w:val="00E41659"/>
    <w:rsid w:val="00E455E8"/>
    <w:rsid w:val="00E522FC"/>
    <w:rsid w:val="00E64505"/>
    <w:rsid w:val="00E93587"/>
    <w:rsid w:val="00EC0C5A"/>
    <w:rsid w:val="00EC5A4B"/>
    <w:rsid w:val="00ED65B9"/>
    <w:rsid w:val="00EF74E3"/>
    <w:rsid w:val="00EF7DC8"/>
    <w:rsid w:val="00F04A6B"/>
    <w:rsid w:val="00F30247"/>
    <w:rsid w:val="00F43B15"/>
    <w:rsid w:val="00F601C3"/>
    <w:rsid w:val="00F61864"/>
    <w:rsid w:val="00F819F8"/>
    <w:rsid w:val="00F841E8"/>
    <w:rsid w:val="00F93141"/>
    <w:rsid w:val="00FA38D3"/>
    <w:rsid w:val="00FA67D7"/>
    <w:rsid w:val="00FA6EEB"/>
    <w:rsid w:val="00FB3BE2"/>
    <w:rsid w:val="00FC065B"/>
    <w:rsid w:val="00FC0F0A"/>
    <w:rsid w:val="00FC5B65"/>
    <w:rsid w:val="00FD28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F7EAA0E-9BA2-489F-8C28-2AA03DC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C59"/>
  </w:style>
  <w:style w:type="paragraph" w:styleId="Titre1">
    <w:name w:val="heading 1"/>
    <w:basedOn w:val="Normal"/>
    <w:next w:val="Normal"/>
    <w:link w:val="Titre1Car"/>
    <w:uiPriority w:val="9"/>
    <w:qFormat/>
    <w:rsid w:val="002A15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D149B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150F"/>
    <w:pPr>
      <w:ind w:left="720"/>
      <w:contextualSpacing/>
    </w:pPr>
  </w:style>
  <w:style w:type="character" w:styleId="Lienhypertexte">
    <w:name w:val="Hyperlink"/>
    <w:basedOn w:val="Policepardfaut"/>
    <w:uiPriority w:val="99"/>
    <w:unhideWhenUsed/>
    <w:rsid w:val="00CC77DA"/>
    <w:rPr>
      <w:color w:val="0000FF" w:themeColor="hyperlink"/>
      <w:u w:val="single"/>
    </w:rPr>
  </w:style>
  <w:style w:type="paragraph" w:styleId="Textedebulles">
    <w:name w:val="Balloon Text"/>
    <w:basedOn w:val="Normal"/>
    <w:link w:val="TextedebullesCar"/>
    <w:uiPriority w:val="99"/>
    <w:semiHidden/>
    <w:unhideWhenUsed/>
    <w:rsid w:val="000B7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7F95"/>
    <w:rPr>
      <w:rFonts w:ascii="Tahoma" w:hAnsi="Tahoma" w:cs="Tahoma"/>
      <w:sz w:val="16"/>
      <w:szCs w:val="16"/>
    </w:rPr>
  </w:style>
  <w:style w:type="paragraph" w:styleId="Notedebasdepage">
    <w:name w:val="footnote text"/>
    <w:basedOn w:val="Normal"/>
    <w:link w:val="NotedebasdepageCar"/>
    <w:uiPriority w:val="99"/>
    <w:semiHidden/>
    <w:unhideWhenUsed/>
    <w:rsid w:val="00201C7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1C70"/>
    <w:rPr>
      <w:sz w:val="20"/>
      <w:szCs w:val="20"/>
    </w:rPr>
  </w:style>
  <w:style w:type="character" w:styleId="Appelnotedebasdep">
    <w:name w:val="footnote reference"/>
    <w:basedOn w:val="Policepardfaut"/>
    <w:uiPriority w:val="99"/>
    <w:semiHidden/>
    <w:unhideWhenUsed/>
    <w:rsid w:val="00201C70"/>
    <w:rPr>
      <w:vertAlign w:val="superscript"/>
    </w:rPr>
  </w:style>
  <w:style w:type="paragraph" w:styleId="NormalWeb">
    <w:name w:val="Normal (Web)"/>
    <w:basedOn w:val="Normal"/>
    <w:uiPriority w:val="99"/>
    <w:semiHidden/>
    <w:unhideWhenUsed/>
    <w:rsid w:val="00650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501D9"/>
  </w:style>
  <w:style w:type="paragraph" w:customStyle="1" w:styleId="Default">
    <w:name w:val="Default"/>
    <w:rsid w:val="000665B0"/>
    <w:pPr>
      <w:autoSpaceDE w:val="0"/>
      <w:autoSpaceDN w:val="0"/>
      <w:adjustRightInd w:val="0"/>
      <w:spacing w:after="0" w:line="240" w:lineRule="auto"/>
    </w:pPr>
    <w:rPr>
      <w:rFonts w:ascii="Times New Roman" w:hAnsi="Times New Roman" w:cs="Times New Roman"/>
      <w:color w:val="000000"/>
      <w:sz w:val="24"/>
      <w:szCs w:val="24"/>
    </w:rPr>
  </w:style>
  <w:style w:type="character" w:styleId="Textedelespacerserv">
    <w:name w:val="Placeholder Text"/>
    <w:basedOn w:val="Policepardfaut"/>
    <w:uiPriority w:val="99"/>
    <w:semiHidden/>
    <w:rsid w:val="00B32A56"/>
    <w:rPr>
      <w:color w:val="808080"/>
    </w:rPr>
  </w:style>
  <w:style w:type="paragraph" w:styleId="En-tte">
    <w:name w:val="header"/>
    <w:basedOn w:val="Normal"/>
    <w:link w:val="En-tteCar"/>
    <w:uiPriority w:val="99"/>
    <w:unhideWhenUsed/>
    <w:rsid w:val="00594FC4"/>
    <w:pPr>
      <w:tabs>
        <w:tab w:val="center" w:pos="4536"/>
        <w:tab w:val="right" w:pos="9072"/>
      </w:tabs>
      <w:spacing w:after="0" w:line="240" w:lineRule="auto"/>
    </w:pPr>
  </w:style>
  <w:style w:type="character" w:customStyle="1" w:styleId="En-tteCar">
    <w:name w:val="En-tête Car"/>
    <w:basedOn w:val="Policepardfaut"/>
    <w:link w:val="En-tte"/>
    <w:uiPriority w:val="99"/>
    <w:rsid w:val="00594FC4"/>
  </w:style>
  <w:style w:type="paragraph" w:styleId="Pieddepage">
    <w:name w:val="footer"/>
    <w:basedOn w:val="Normal"/>
    <w:link w:val="PieddepageCar"/>
    <w:uiPriority w:val="99"/>
    <w:unhideWhenUsed/>
    <w:rsid w:val="00594F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4FC4"/>
  </w:style>
  <w:style w:type="character" w:customStyle="1" w:styleId="Titre2Car">
    <w:name w:val="Titre 2 Car"/>
    <w:basedOn w:val="Policepardfaut"/>
    <w:link w:val="Titre2"/>
    <w:uiPriority w:val="9"/>
    <w:rsid w:val="00D149B4"/>
    <w:rPr>
      <w:rFonts w:ascii="Times New Roman" w:eastAsia="Times New Roman" w:hAnsi="Times New Roman" w:cs="Times New Roman"/>
      <w:b/>
      <w:bCs/>
      <w:sz w:val="36"/>
      <w:szCs w:val="36"/>
      <w:lang w:eastAsia="fr-FR"/>
    </w:rPr>
  </w:style>
  <w:style w:type="character" w:customStyle="1" w:styleId="epub-state">
    <w:name w:val="epub-state"/>
    <w:basedOn w:val="Policepardfaut"/>
    <w:rsid w:val="00D149B4"/>
  </w:style>
  <w:style w:type="character" w:customStyle="1" w:styleId="epub-date">
    <w:name w:val="epub-date"/>
    <w:basedOn w:val="Policepardfaut"/>
    <w:rsid w:val="00D149B4"/>
  </w:style>
  <w:style w:type="character" w:customStyle="1" w:styleId="Titre1Car">
    <w:name w:val="Titre 1 Car"/>
    <w:basedOn w:val="Policepardfaut"/>
    <w:link w:val="Titre1"/>
    <w:uiPriority w:val="9"/>
    <w:rsid w:val="002A1563"/>
    <w:rPr>
      <w:rFonts w:asciiTheme="majorHAnsi" w:eastAsiaTheme="majorEastAsia" w:hAnsiTheme="majorHAnsi" w:cstheme="majorBidi"/>
      <w:color w:val="365F91" w:themeColor="accent1" w:themeShade="BF"/>
      <w:sz w:val="32"/>
      <w:szCs w:val="32"/>
    </w:rPr>
  </w:style>
  <w:style w:type="character" w:customStyle="1" w:styleId="ej-keyword">
    <w:name w:val="ej-keyword"/>
    <w:basedOn w:val="Policepardfaut"/>
    <w:rsid w:val="002A1563"/>
  </w:style>
  <w:style w:type="paragraph" w:styleId="PrformatHTML">
    <w:name w:val="HTML Preformatted"/>
    <w:basedOn w:val="Normal"/>
    <w:link w:val="PrformatHTMLCar"/>
    <w:uiPriority w:val="99"/>
    <w:semiHidden/>
    <w:unhideWhenUsed/>
    <w:rsid w:val="007C4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C48F3"/>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4712">
      <w:bodyDiv w:val="1"/>
      <w:marLeft w:val="0"/>
      <w:marRight w:val="0"/>
      <w:marTop w:val="0"/>
      <w:marBottom w:val="0"/>
      <w:divBdr>
        <w:top w:val="none" w:sz="0" w:space="0" w:color="auto"/>
        <w:left w:val="none" w:sz="0" w:space="0" w:color="auto"/>
        <w:bottom w:val="none" w:sz="0" w:space="0" w:color="auto"/>
        <w:right w:val="none" w:sz="0" w:space="0" w:color="auto"/>
      </w:divBdr>
    </w:div>
    <w:div w:id="449740019">
      <w:bodyDiv w:val="1"/>
      <w:marLeft w:val="0"/>
      <w:marRight w:val="0"/>
      <w:marTop w:val="0"/>
      <w:marBottom w:val="0"/>
      <w:divBdr>
        <w:top w:val="none" w:sz="0" w:space="0" w:color="auto"/>
        <w:left w:val="none" w:sz="0" w:space="0" w:color="auto"/>
        <w:bottom w:val="none" w:sz="0" w:space="0" w:color="auto"/>
        <w:right w:val="none" w:sz="0" w:space="0" w:color="auto"/>
      </w:divBdr>
    </w:div>
    <w:div w:id="702941112">
      <w:bodyDiv w:val="1"/>
      <w:marLeft w:val="0"/>
      <w:marRight w:val="0"/>
      <w:marTop w:val="0"/>
      <w:marBottom w:val="0"/>
      <w:divBdr>
        <w:top w:val="none" w:sz="0" w:space="0" w:color="auto"/>
        <w:left w:val="none" w:sz="0" w:space="0" w:color="auto"/>
        <w:bottom w:val="none" w:sz="0" w:space="0" w:color="auto"/>
        <w:right w:val="none" w:sz="0" w:space="0" w:color="auto"/>
      </w:divBdr>
      <w:divsChild>
        <w:div w:id="30033119">
          <w:marLeft w:val="0"/>
          <w:marRight w:val="0"/>
          <w:marTop w:val="0"/>
          <w:marBottom w:val="0"/>
          <w:divBdr>
            <w:top w:val="none" w:sz="0" w:space="0" w:color="auto"/>
            <w:left w:val="none" w:sz="0" w:space="0" w:color="auto"/>
            <w:bottom w:val="none" w:sz="0" w:space="0" w:color="auto"/>
            <w:right w:val="none" w:sz="0" w:space="0" w:color="auto"/>
          </w:divBdr>
        </w:div>
      </w:divsChild>
    </w:div>
    <w:div w:id="785465076">
      <w:bodyDiv w:val="1"/>
      <w:marLeft w:val="0"/>
      <w:marRight w:val="0"/>
      <w:marTop w:val="0"/>
      <w:marBottom w:val="0"/>
      <w:divBdr>
        <w:top w:val="none" w:sz="0" w:space="0" w:color="auto"/>
        <w:left w:val="none" w:sz="0" w:space="0" w:color="auto"/>
        <w:bottom w:val="none" w:sz="0" w:space="0" w:color="auto"/>
        <w:right w:val="none" w:sz="0" w:space="0" w:color="auto"/>
      </w:divBdr>
    </w:div>
    <w:div w:id="1207063121">
      <w:bodyDiv w:val="1"/>
      <w:marLeft w:val="0"/>
      <w:marRight w:val="0"/>
      <w:marTop w:val="0"/>
      <w:marBottom w:val="0"/>
      <w:divBdr>
        <w:top w:val="none" w:sz="0" w:space="0" w:color="auto"/>
        <w:left w:val="none" w:sz="0" w:space="0" w:color="auto"/>
        <w:bottom w:val="none" w:sz="0" w:space="0" w:color="auto"/>
        <w:right w:val="none" w:sz="0" w:space="0" w:color="auto"/>
      </w:divBdr>
    </w:div>
    <w:div w:id="1287272595">
      <w:bodyDiv w:val="1"/>
      <w:marLeft w:val="0"/>
      <w:marRight w:val="0"/>
      <w:marTop w:val="0"/>
      <w:marBottom w:val="0"/>
      <w:divBdr>
        <w:top w:val="none" w:sz="0" w:space="0" w:color="auto"/>
        <w:left w:val="none" w:sz="0" w:space="0" w:color="auto"/>
        <w:bottom w:val="none" w:sz="0" w:space="0" w:color="auto"/>
        <w:right w:val="none" w:sz="0" w:space="0" w:color="auto"/>
      </w:divBdr>
    </w:div>
    <w:div w:id="1578589591">
      <w:bodyDiv w:val="1"/>
      <w:marLeft w:val="0"/>
      <w:marRight w:val="0"/>
      <w:marTop w:val="0"/>
      <w:marBottom w:val="0"/>
      <w:divBdr>
        <w:top w:val="none" w:sz="0" w:space="0" w:color="auto"/>
        <w:left w:val="none" w:sz="0" w:space="0" w:color="auto"/>
        <w:bottom w:val="none" w:sz="0" w:space="0" w:color="auto"/>
        <w:right w:val="none" w:sz="0" w:space="0" w:color="auto"/>
      </w:divBdr>
      <w:divsChild>
        <w:div w:id="1390153543">
          <w:marLeft w:val="547"/>
          <w:marRight w:val="0"/>
          <w:marTop w:val="200"/>
          <w:marBottom w:val="0"/>
          <w:divBdr>
            <w:top w:val="none" w:sz="0" w:space="0" w:color="auto"/>
            <w:left w:val="none" w:sz="0" w:space="0" w:color="auto"/>
            <w:bottom w:val="none" w:sz="0" w:space="0" w:color="auto"/>
            <w:right w:val="none" w:sz="0" w:space="0" w:color="auto"/>
          </w:divBdr>
        </w:div>
        <w:div w:id="474763385">
          <w:marLeft w:val="1166"/>
          <w:marRight w:val="0"/>
          <w:marTop w:val="200"/>
          <w:marBottom w:val="0"/>
          <w:divBdr>
            <w:top w:val="none" w:sz="0" w:space="0" w:color="auto"/>
            <w:left w:val="none" w:sz="0" w:space="0" w:color="auto"/>
            <w:bottom w:val="none" w:sz="0" w:space="0" w:color="auto"/>
            <w:right w:val="none" w:sz="0" w:space="0" w:color="auto"/>
          </w:divBdr>
        </w:div>
        <w:div w:id="1020087326">
          <w:marLeft w:val="1166"/>
          <w:marRight w:val="0"/>
          <w:marTop w:val="200"/>
          <w:marBottom w:val="0"/>
          <w:divBdr>
            <w:top w:val="none" w:sz="0" w:space="0" w:color="auto"/>
            <w:left w:val="none" w:sz="0" w:space="0" w:color="auto"/>
            <w:bottom w:val="none" w:sz="0" w:space="0" w:color="auto"/>
            <w:right w:val="none" w:sz="0" w:space="0" w:color="auto"/>
          </w:divBdr>
        </w:div>
        <w:div w:id="637028516">
          <w:marLeft w:val="1800"/>
          <w:marRight w:val="0"/>
          <w:marTop w:val="200"/>
          <w:marBottom w:val="0"/>
          <w:divBdr>
            <w:top w:val="none" w:sz="0" w:space="0" w:color="auto"/>
            <w:left w:val="none" w:sz="0" w:space="0" w:color="auto"/>
            <w:bottom w:val="none" w:sz="0" w:space="0" w:color="auto"/>
            <w:right w:val="none" w:sz="0" w:space="0" w:color="auto"/>
          </w:divBdr>
        </w:div>
        <w:div w:id="477497786">
          <w:marLeft w:val="1800"/>
          <w:marRight w:val="0"/>
          <w:marTop w:val="200"/>
          <w:marBottom w:val="0"/>
          <w:divBdr>
            <w:top w:val="none" w:sz="0" w:space="0" w:color="auto"/>
            <w:left w:val="none" w:sz="0" w:space="0" w:color="auto"/>
            <w:bottom w:val="none" w:sz="0" w:space="0" w:color="auto"/>
            <w:right w:val="none" w:sz="0" w:space="0" w:color="auto"/>
          </w:divBdr>
        </w:div>
        <w:div w:id="2059817821">
          <w:marLeft w:val="547"/>
          <w:marRight w:val="0"/>
          <w:marTop w:val="200"/>
          <w:marBottom w:val="0"/>
          <w:divBdr>
            <w:top w:val="none" w:sz="0" w:space="0" w:color="auto"/>
            <w:left w:val="none" w:sz="0" w:space="0" w:color="auto"/>
            <w:bottom w:val="none" w:sz="0" w:space="0" w:color="auto"/>
            <w:right w:val="none" w:sz="0" w:space="0" w:color="auto"/>
          </w:divBdr>
        </w:div>
        <w:div w:id="1947611863">
          <w:marLeft w:val="1166"/>
          <w:marRight w:val="0"/>
          <w:marTop w:val="200"/>
          <w:marBottom w:val="0"/>
          <w:divBdr>
            <w:top w:val="none" w:sz="0" w:space="0" w:color="auto"/>
            <w:left w:val="none" w:sz="0" w:space="0" w:color="auto"/>
            <w:bottom w:val="none" w:sz="0" w:space="0" w:color="auto"/>
            <w:right w:val="none" w:sz="0" w:space="0" w:color="auto"/>
          </w:divBdr>
        </w:div>
        <w:div w:id="1841970481">
          <w:marLeft w:val="1166"/>
          <w:marRight w:val="0"/>
          <w:marTop w:val="200"/>
          <w:marBottom w:val="0"/>
          <w:divBdr>
            <w:top w:val="none" w:sz="0" w:space="0" w:color="auto"/>
            <w:left w:val="none" w:sz="0" w:space="0" w:color="auto"/>
            <w:bottom w:val="none" w:sz="0" w:space="0" w:color="auto"/>
            <w:right w:val="none" w:sz="0" w:space="0" w:color="auto"/>
          </w:divBdr>
        </w:div>
        <w:div w:id="1611086314">
          <w:marLeft w:val="1166"/>
          <w:marRight w:val="0"/>
          <w:marTop w:val="200"/>
          <w:marBottom w:val="0"/>
          <w:divBdr>
            <w:top w:val="none" w:sz="0" w:space="0" w:color="auto"/>
            <w:left w:val="none" w:sz="0" w:space="0" w:color="auto"/>
            <w:bottom w:val="none" w:sz="0" w:space="0" w:color="auto"/>
            <w:right w:val="none" w:sz="0" w:space="0" w:color="auto"/>
          </w:divBdr>
        </w:div>
      </w:divsChild>
    </w:div>
    <w:div w:id="1873373468">
      <w:bodyDiv w:val="1"/>
      <w:marLeft w:val="0"/>
      <w:marRight w:val="0"/>
      <w:marTop w:val="0"/>
      <w:marBottom w:val="0"/>
      <w:divBdr>
        <w:top w:val="none" w:sz="0" w:space="0" w:color="auto"/>
        <w:left w:val="none" w:sz="0" w:space="0" w:color="auto"/>
        <w:bottom w:val="none" w:sz="0" w:space="0" w:color="auto"/>
        <w:right w:val="none" w:sz="0" w:space="0" w:color="auto"/>
      </w:divBdr>
    </w:div>
    <w:div w:id="1980918224">
      <w:bodyDiv w:val="1"/>
      <w:marLeft w:val="0"/>
      <w:marRight w:val="0"/>
      <w:marTop w:val="0"/>
      <w:marBottom w:val="0"/>
      <w:divBdr>
        <w:top w:val="none" w:sz="0" w:space="0" w:color="auto"/>
        <w:left w:val="none" w:sz="0" w:space="0" w:color="auto"/>
        <w:bottom w:val="none" w:sz="0" w:space="0" w:color="auto"/>
        <w:right w:val="none" w:sz="0" w:space="0" w:color="auto"/>
      </w:divBdr>
      <w:divsChild>
        <w:div w:id="1469587151">
          <w:marLeft w:val="0"/>
          <w:marRight w:val="0"/>
          <w:marTop w:val="225"/>
          <w:marBottom w:val="225"/>
          <w:divBdr>
            <w:top w:val="none" w:sz="0" w:space="0" w:color="auto"/>
            <w:left w:val="none" w:sz="0" w:space="0" w:color="auto"/>
            <w:bottom w:val="none" w:sz="0" w:space="0" w:color="auto"/>
            <w:right w:val="none" w:sz="0" w:space="0" w:color="auto"/>
          </w:divBdr>
          <w:divsChild>
            <w:div w:id="1009794912">
              <w:marLeft w:val="0"/>
              <w:marRight w:val="0"/>
              <w:marTop w:val="0"/>
              <w:marBottom w:val="0"/>
              <w:divBdr>
                <w:top w:val="none" w:sz="0" w:space="0" w:color="auto"/>
                <w:left w:val="none" w:sz="0" w:space="0" w:color="auto"/>
                <w:bottom w:val="none" w:sz="0" w:space="0" w:color="auto"/>
                <w:right w:val="none" w:sz="0" w:space="0" w:color="auto"/>
              </w:divBdr>
              <w:divsChild>
                <w:div w:id="1373651287">
                  <w:marLeft w:val="0"/>
                  <w:marRight w:val="0"/>
                  <w:marTop w:val="0"/>
                  <w:marBottom w:val="0"/>
                  <w:divBdr>
                    <w:top w:val="none" w:sz="0" w:space="0" w:color="auto"/>
                    <w:left w:val="none" w:sz="0" w:space="0" w:color="auto"/>
                    <w:bottom w:val="none" w:sz="0" w:space="0" w:color="auto"/>
                    <w:right w:val="none" w:sz="0" w:space="0" w:color="auto"/>
                  </w:divBdr>
                  <w:divsChild>
                    <w:div w:id="1170412966">
                      <w:marLeft w:val="0"/>
                      <w:marRight w:val="0"/>
                      <w:marTop w:val="0"/>
                      <w:marBottom w:val="0"/>
                      <w:divBdr>
                        <w:top w:val="none" w:sz="0" w:space="0" w:color="auto"/>
                        <w:left w:val="none" w:sz="0" w:space="0" w:color="auto"/>
                        <w:bottom w:val="none" w:sz="0" w:space="0" w:color="auto"/>
                        <w:right w:val="none" w:sz="0" w:space="0" w:color="auto"/>
                      </w:divBdr>
                    </w:div>
                    <w:div w:id="494762461">
                      <w:marLeft w:val="0"/>
                      <w:marRight w:val="0"/>
                      <w:marTop w:val="0"/>
                      <w:marBottom w:val="0"/>
                      <w:divBdr>
                        <w:top w:val="none" w:sz="0" w:space="0" w:color="auto"/>
                        <w:left w:val="none" w:sz="0" w:space="0" w:color="auto"/>
                        <w:bottom w:val="none" w:sz="0" w:space="0" w:color="auto"/>
                        <w:right w:val="none" w:sz="0" w:space="0" w:color="auto"/>
                      </w:divBdr>
                    </w:div>
                    <w:div w:id="1106392235">
                      <w:marLeft w:val="0"/>
                      <w:marRight w:val="0"/>
                      <w:marTop w:val="0"/>
                      <w:marBottom w:val="0"/>
                      <w:divBdr>
                        <w:top w:val="none" w:sz="0" w:space="0" w:color="auto"/>
                        <w:left w:val="none" w:sz="0" w:space="0" w:color="auto"/>
                        <w:bottom w:val="none" w:sz="0" w:space="0" w:color="auto"/>
                        <w:right w:val="none" w:sz="0" w:space="0" w:color="auto"/>
                      </w:divBdr>
                    </w:div>
                    <w:div w:id="484513898">
                      <w:marLeft w:val="0"/>
                      <w:marRight w:val="0"/>
                      <w:marTop w:val="0"/>
                      <w:marBottom w:val="0"/>
                      <w:divBdr>
                        <w:top w:val="none" w:sz="0" w:space="0" w:color="auto"/>
                        <w:left w:val="none" w:sz="0" w:space="0" w:color="auto"/>
                        <w:bottom w:val="none" w:sz="0" w:space="0" w:color="auto"/>
                        <w:right w:val="none" w:sz="0" w:space="0" w:color="auto"/>
                      </w:divBdr>
                    </w:div>
                    <w:div w:id="733968170">
                      <w:marLeft w:val="0"/>
                      <w:marRight w:val="0"/>
                      <w:marTop w:val="0"/>
                      <w:marBottom w:val="0"/>
                      <w:divBdr>
                        <w:top w:val="none" w:sz="0" w:space="0" w:color="auto"/>
                        <w:left w:val="none" w:sz="0" w:space="0" w:color="auto"/>
                        <w:bottom w:val="none" w:sz="0" w:space="0" w:color="auto"/>
                        <w:right w:val="none" w:sz="0" w:space="0" w:color="auto"/>
                      </w:divBdr>
                    </w:div>
                    <w:div w:id="1106197384">
                      <w:marLeft w:val="0"/>
                      <w:marRight w:val="0"/>
                      <w:marTop w:val="0"/>
                      <w:marBottom w:val="0"/>
                      <w:divBdr>
                        <w:top w:val="none" w:sz="0" w:space="0" w:color="auto"/>
                        <w:left w:val="none" w:sz="0" w:space="0" w:color="auto"/>
                        <w:bottom w:val="none" w:sz="0" w:space="0" w:color="auto"/>
                        <w:right w:val="none" w:sz="0" w:space="0" w:color="auto"/>
                      </w:divBdr>
                    </w:div>
                    <w:div w:id="20900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4008">
          <w:marLeft w:val="0"/>
          <w:marRight w:val="0"/>
          <w:marTop w:val="225"/>
          <w:marBottom w:val="225"/>
          <w:divBdr>
            <w:top w:val="none" w:sz="0" w:space="0" w:color="auto"/>
            <w:left w:val="none" w:sz="0" w:space="0" w:color="auto"/>
            <w:bottom w:val="none" w:sz="0" w:space="0" w:color="auto"/>
            <w:right w:val="none" w:sz="0" w:space="0" w:color="auto"/>
          </w:divBdr>
          <w:divsChild>
            <w:div w:id="20957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residencedesacacia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urnals.lww.com/neuroreport/toc/1997/0526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B56D2-FF88-4593-94A3-F79AA368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4872</Words>
  <Characters>26798</Characters>
  <Application>Microsoft Office Word</Application>
  <DocSecurity>4</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Psychologue</dc:creator>
  <cp:lastModifiedBy>Carine MORISSEAU</cp:lastModifiedBy>
  <cp:revision>2</cp:revision>
  <cp:lastPrinted>2019-03-05T11:32:00Z</cp:lastPrinted>
  <dcterms:created xsi:type="dcterms:W3CDTF">2019-03-11T08:31:00Z</dcterms:created>
  <dcterms:modified xsi:type="dcterms:W3CDTF">2019-03-11T08:31:00Z</dcterms:modified>
</cp:coreProperties>
</file>